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EE84" w14:textId="77777777" w:rsidR="00AE3E9D" w:rsidRPr="0054652A" w:rsidRDefault="00AE3E9D" w:rsidP="00897697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1"/>
        </w:rPr>
      </w:pPr>
      <w:bookmarkStart w:id="0" w:name="_Hlk115300439"/>
      <w:r w:rsidRPr="0054652A">
        <w:rPr>
          <w:rStyle w:val="markedcontent"/>
          <w:rFonts w:ascii="Arial" w:hAnsi="Arial" w:cs="Arial"/>
          <w:bCs/>
          <w:sz w:val="24"/>
          <w:szCs w:val="21"/>
        </w:rPr>
        <w:t>California State Polytechnic University, Pomona</w:t>
      </w:r>
    </w:p>
    <w:bookmarkEnd w:id="0"/>
    <w:p w14:paraId="2A9B15D8" w14:textId="77777777" w:rsidR="00AE3E9D" w:rsidRPr="0054652A" w:rsidRDefault="00AE3E9D" w:rsidP="00AE3E9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1765049" w14:textId="6F9CC066" w:rsidR="00130FC8" w:rsidRPr="00D9612B" w:rsidRDefault="00AE3E9D" w:rsidP="00D9612B">
      <w:pPr>
        <w:spacing w:after="0" w:line="240" w:lineRule="auto"/>
        <w:jc w:val="center"/>
        <w:rPr>
          <w:rFonts w:ascii="Arial" w:hAnsi="Arial" w:cs="Arial"/>
          <w:bCs/>
        </w:rPr>
      </w:pPr>
      <w:r w:rsidRPr="0054652A">
        <w:rPr>
          <w:rFonts w:ascii="Arial" w:hAnsi="Arial" w:cs="Arial"/>
          <w:bCs/>
        </w:rPr>
        <w:t xml:space="preserve">Resolution </w:t>
      </w:r>
      <w:r w:rsidR="008612A6">
        <w:rPr>
          <w:rFonts w:ascii="Arial" w:hAnsi="Arial" w:cs="Arial"/>
          <w:bCs/>
        </w:rPr>
        <w:t xml:space="preserve">in </w:t>
      </w:r>
      <w:r w:rsidR="005909D1">
        <w:rPr>
          <w:rFonts w:ascii="Arial" w:hAnsi="Arial" w:cs="Arial"/>
          <w:bCs/>
        </w:rPr>
        <w:t>S</w:t>
      </w:r>
      <w:r w:rsidR="008612A6">
        <w:rPr>
          <w:rFonts w:ascii="Arial" w:hAnsi="Arial" w:cs="Arial"/>
          <w:bCs/>
        </w:rPr>
        <w:t xml:space="preserve">upport of </w:t>
      </w:r>
      <w:r w:rsidR="005909D1">
        <w:rPr>
          <w:rFonts w:ascii="Arial" w:hAnsi="Arial" w:cs="Arial"/>
          <w:bCs/>
        </w:rPr>
        <w:t>U</w:t>
      </w:r>
      <w:r w:rsidR="005909D1" w:rsidRPr="0054652A">
        <w:rPr>
          <w:rFonts w:ascii="Arial" w:hAnsi="Arial" w:cs="Arial"/>
          <w:bCs/>
        </w:rPr>
        <w:t xml:space="preserve">nit </w:t>
      </w:r>
      <w:r w:rsidR="006F0A56" w:rsidRPr="0054652A">
        <w:rPr>
          <w:rFonts w:ascii="Arial" w:hAnsi="Arial" w:cs="Arial"/>
          <w:bCs/>
        </w:rPr>
        <w:t xml:space="preserve">3 </w:t>
      </w:r>
      <w:r w:rsidR="005909D1">
        <w:rPr>
          <w:rFonts w:ascii="Arial" w:hAnsi="Arial" w:cs="Arial"/>
          <w:bCs/>
        </w:rPr>
        <w:t>E</w:t>
      </w:r>
      <w:r w:rsidR="005909D1" w:rsidRPr="0054652A">
        <w:rPr>
          <w:rFonts w:ascii="Arial" w:hAnsi="Arial" w:cs="Arial"/>
          <w:bCs/>
        </w:rPr>
        <w:t xml:space="preserve">mployees </w:t>
      </w:r>
      <w:r w:rsidR="005909D1">
        <w:rPr>
          <w:rFonts w:ascii="Arial" w:hAnsi="Arial" w:cs="Arial"/>
          <w:bCs/>
        </w:rPr>
        <w:t xml:space="preserve">and </w:t>
      </w:r>
      <w:r w:rsidR="00B34FBA">
        <w:rPr>
          <w:rFonts w:ascii="Arial" w:hAnsi="Arial" w:cs="Arial"/>
          <w:bCs/>
        </w:rPr>
        <w:t xml:space="preserve">the </w:t>
      </w:r>
      <w:r w:rsidR="005909D1">
        <w:rPr>
          <w:rFonts w:ascii="Arial" w:hAnsi="Arial" w:cs="Arial"/>
          <w:bCs/>
        </w:rPr>
        <w:t>L</w:t>
      </w:r>
      <w:r w:rsidR="008F7D57">
        <w:rPr>
          <w:rFonts w:ascii="Arial" w:hAnsi="Arial" w:cs="Arial"/>
          <w:bCs/>
        </w:rPr>
        <w:t xml:space="preserve">earn </w:t>
      </w:r>
      <w:r w:rsidR="005909D1">
        <w:rPr>
          <w:rFonts w:ascii="Arial" w:hAnsi="Arial" w:cs="Arial"/>
          <w:bCs/>
        </w:rPr>
        <w:t>T</w:t>
      </w:r>
      <w:r w:rsidR="008F7D57">
        <w:rPr>
          <w:rFonts w:ascii="Arial" w:hAnsi="Arial" w:cs="Arial"/>
          <w:bCs/>
        </w:rPr>
        <w:t xml:space="preserve">hrough </w:t>
      </w:r>
      <w:r w:rsidR="005909D1">
        <w:rPr>
          <w:rFonts w:ascii="Arial" w:hAnsi="Arial" w:cs="Arial"/>
          <w:bCs/>
        </w:rPr>
        <w:t>D</w:t>
      </w:r>
      <w:r w:rsidR="008F7D57">
        <w:rPr>
          <w:rFonts w:ascii="Arial" w:hAnsi="Arial" w:cs="Arial"/>
          <w:bCs/>
        </w:rPr>
        <w:t xml:space="preserve">iscovery </w:t>
      </w:r>
      <w:r w:rsidR="004C47AC">
        <w:rPr>
          <w:rFonts w:ascii="Arial" w:hAnsi="Arial" w:cs="Arial"/>
          <w:bCs/>
        </w:rPr>
        <w:t xml:space="preserve">(LTD) </w:t>
      </w:r>
      <w:r w:rsidR="005909D1">
        <w:rPr>
          <w:rFonts w:ascii="Arial" w:hAnsi="Arial" w:cs="Arial"/>
          <w:bCs/>
        </w:rPr>
        <w:t>P</w:t>
      </w:r>
      <w:r w:rsidR="008F7D57">
        <w:rPr>
          <w:rFonts w:ascii="Arial" w:hAnsi="Arial" w:cs="Arial"/>
          <w:bCs/>
        </w:rPr>
        <w:t xml:space="preserve">olytechnic </w:t>
      </w:r>
      <w:r w:rsidR="005909D1">
        <w:rPr>
          <w:rFonts w:ascii="Arial" w:hAnsi="Arial" w:cs="Arial"/>
          <w:bCs/>
        </w:rPr>
        <w:t>M</w:t>
      </w:r>
      <w:r w:rsidR="00B34FBA">
        <w:rPr>
          <w:rFonts w:ascii="Arial" w:hAnsi="Arial" w:cs="Arial"/>
          <w:bCs/>
        </w:rPr>
        <w:t>odel</w:t>
      </w:r>
      <w:r w:rsidR="008A218C" w:rsidRPr="0054652A">
        <w:rPr>
          <w:rFonts w:ascii="Arial" w:hAnsi="Arial" w:cs="Arial"/>
          <w:bCs/>
        </w:rPr>
        <w:t xml:space="preserve"> </w:t>
      </w:r>
    </w:p>
    <w:p w14:paraId="0E377BA2" w14:textId="77777777" w:rsidR="00D9612B" w:rsidRDefault="00D9612B" w:rsidP="003365C2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</w:p>
    <w:p w14:paraId="6645A248" w14:textId="7D99BEBE" w:rsidR="00105970" w:rsidRPr="0054652A" w:rsidRDefault="004A3CB7" w:rsidP="003365C2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  <w:i/>
          <w:iCs/>
        </w:rPr>
      </w:pPr>
      <w:r w:rsidRPr="0054652A">
        <w:rPr>
          <w:rFonts w:ascii="Arial" w:hAnsi="Arial" w:cs="Arial"/>
          <w:bCs/>
        </w:rPr>
        <w:t>Whereas</w:t>
      </w:r>
      <w:r w:rsidR="004C1C0C">
        <w:rPr>
          <w:rFonts w:ascii="Arial" w:hAnsi="Arial" w:cs="Arial"/>
          <w:bCs/>
        </w:rPr>
        <w:t>,</w:t>
      </w:r>
      <w:r w:rsidRPr="0054652A">
        <w:rPr>
          <w:rFonts w:ascii="Arial" w:hAnsi="Arial" w:cs="Arial"/>
          <w:bCs/>
        </w:rPr>
        <w:t xml:space="preserve"> </w:t>
      </w:r>
      <w:r w:rsidR="000F237D">
        <w:rPr>
          <w:rFonts w:ascii="Arial" w:hAnsi="Arial" w:cs="Arial"/>
          <w:bCs/>
        </w:rPr>
        <w:tab/>
      </w:r>
      <w:proofErr w:type="gramStart"/>
      <w:r w:rsidR="004F16B1" w:rsidRPr="00866227">
        <w:rPr>
          <w:rFonts w:ascii="Arial" w:hAnsi="Arial" w:cs="Arial"/>
          <w:bCs/>
        </w:rPr>
        <w:t>The</w:t>
      </w:r>
      <w:proofErr w:type="gramEnd"/>
      <w:r w:rsidR="004F16B1" w:rsidRPr="00866227">
        <w:rPr>
          <w:rFonts w:ascii="Arial" w:hAnsi="Arial" w:cs="Arial"/>
          <w:bCs/>
        </w:rPr>
        <w:t xml:space="preserve"> primary professional responsibilities of </w:t>
      </w:r>
      <w:r w:rsidR="00A35DD8" w:rsidRPr="00866227">
        <w:rPr>
          <w:rFonts w:ascii="Arial" w:hAnsi="Arial" w:cs="Arial"/>
          <w:bCs/>
        </w:rPr>
        <w:t>unit 3</w:t>
      </w:r>
      <w:r w:rsidR="004F16B1" w:rsidRPr="00866227">
        <w:rPr>
          <w:rFonts w:ascii="Arial" w:hAnsi="Arial" w:cs="Arial"/>
          <w:bCs/>
        </w:rPr>
        <w:t xml:space="preserve"> faculty members are teaching, research</w:t>
      </w:r>
      <w:r w:rsidR="000636C5">
        <w:rPr>
          <w:rFonts w:ascii="Arial" w:hAnsi="Arial" w:cs="Arial"/>
          <w:bCs/>
        </w:rPr>
        <w:t>/</w:t>
      </w:r>
      <w:r w:rsidR="004F16B1" w:rsidRPr="00866227">
        <w:rPr>
          <w:rFonts w:ascii="Arial" w:hAnsi="Arial" w:cs="Arial"/>
          <w:bCs/>
        </w:rPr>
        <w:t>scholarship</w:t>
      </w:r>
      <w:r w:rsidR="000636C5">
        <w:rPr>
          <w:rFonts w:ascii="Arial" w:hAnsi="Arial" w:cs="Arial"/>
          <w:bCs/>
        </w:rPr>
        <w:t>/</w:t>
      </w:r>
      <w:r w:rsidR="004F16B1" w:rsidRPr="00866227">
        <w:rPr>
          <w:rFonts w:ascii="Arial" w:hAnsi="Arial" w:cs="Arial"/>
          <w:bCs/>
        </w:rPr>
        <w:t>creative activit</w:t>
      </w:r>
      <w:r w:rsidR="00C80732">
        <w:rPr>
          <w:rFonts w:ascii="Arial" w:hAnsi="Arial" w:cs="Arial"/>
          <w:bCs/>
        </w:rPr>
        <w:t>ies</w:t>
      </w:r>
      <w:r w:rsidR="004F16B1" w:rsidRPr="00866227">
        <w:rPr>
          <w:rFonts w:ascii="Arial" w:hAnsi="Arial" w:cs="Arial"/>
          <w:bCs/>
        </w:rPr>
        <w:t>, and service to the University, profession and to the community</w:t>
      </w:r>
      <w:r w:rsidR="0054719D" w:rsidRPr="0054652A">
        <w:rPr>
          <w:rFonts w:ascii="Arial" w:hAnsi="Arial" w:cs="Arial"/>
          <w:bCs/>
          <w:i/>
          <w:iCs/>
        </w:rPr>
        <w:t>;</w:t>
      </w:r>
    </w:p>
    <w:p w14:paraId="20E98F2C" w14:textId="11EFA233" w:rsidR="00040F61" w:rsidRDefault="00A97C54" w:rsidP="00B75B0F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  <w:proofErr w:type="gramStart"/>
      <w:r w:rsidRPr="00B87896">
        <w:rPr>
          <w:rFonts w:ascii="Arial" w:hAnsi="Arial" w:cs="Arial"/>
          <w:bCs/>
        </w:rPr>
        <w:t>Whereas</w:t>
      </w:r>
      <w:r w:rsidR="004A19D6">
        <w:rPr>
          <w:rFonts w:ascii="Arial" w:hAnsi="Arial" w:cs="Arial"/>
          <w:bCs/>
        </w:rPr>
        <w:t>,</w:t>
      </w:r>
      <w:proofErr w:type="gramEnd"/>
      <w:r w:rsidRPr="00B87896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  <w:t>C</w:t>
      </w:r>
      <w:r w:rsidR="00B75B0F" w:rsidRPr="00B87896">
        <w:rPr>
          <w:rFonts w:ascii="Arial" w:hAnsi="Arial" w:cs="Arial"/>
          <w:bCs/>
        </w:rPr>
        <w:t>ampuswide</w:t>
      </w:r>
      <w:r w:rsidR="00B57C44" w:rsidRPr="00B87896">
        <w:rPr>
          <w:rFonts w:ascii="Arial" w:hAnsi="Arial" w:cs="Arial"/>
          <w:bCs/>
        </w:rPr>
        <w:t xml:space="preserve"> </w:t>
      </w:r>
      <w:r w:rsidR="00EC1578" w:rsidRPr="00B87896">
        <w:rPr>
          <w:rFonts w:ascii="Arial" w:hAnsi="Arial" w:cs="Arial"/>
          <w:bCs/>
        </w:rPr>
        <w:t xml:space="preserve">the </w:t>
      </w:r>
      <w:r w:rsidR="00386E49" w:rsidRPr="00B87896">
        <w:rPr>
          <w:rFonts w:ascii="Arial" w:hAnsi="Arial" w:cs="Arial"/>
          <w:bCs/>
        </w:rPr>
        <w:t xml:space="preserve">mission, </w:t>
      </w:r>
      <w:r w:rsidR="00B8270A" w:rsidRPr="00B87896">
        <w:rPr>
          <w:rFonts w:ascii="Arial" w:hAnsi="Arial" w:cs="Arial"/>
          <w:bCs/>
        </w:rPr>
        <w:t>vision,</w:t>
      </w:r>
      <w:r w:rsidR="00386E49" w:rsidRPr="00B87896">
        <w:rPr>
          <w:rFonts w:ascii="Arial" w:hAnsi="Arial" w:cs="Arial"/>
          <w:bCs/>
        </w:rPr>
        <w:t xml:space="preserve"> and values of learn through discovery (LTD) polytechnic pedagogy require labor and time intensive </w:t>
      </w:r>
      <w:r w:rsidR="00F45C7D" w:rsidRPr="00B87896">
        <w:rPr>
          <w:rFonts w:ascii="Arial" w:hAnsi="Arial" w:cs="Arial"/>
          <w:bCs/>
        </w:rPr>
        <w:t xml:space="preserve">high-impact practices </w:t>
      </w:r>
      <w:r w:rsidR="00974E84" w:rsidRPr="00B87896">
        <w:rPr>
          <w:rFonts w:ascii="Arial" w:hAnsi="Arial" w:cs="Arial"/>
          <w:bCs/>
        </w:rPr>
        <w:t xml:space="preserve">such as </w:t>
      </w:r>
      <w:r w:rsidR="00F45C7D" w:rsidRPr="00B87896">
        <w:rPr>
          <w:rFonts w:ascii="Arial" w:hAnsi="Arial" w:cs="Arial"/>
          <w:bCs/>
        </w:rPr>
        <w:t xml:space="preserve">intensive mentoring, dissemination </w:t>
      </w:r>
      <w:r w:rsidR="00974E84" w:rsidRPr="00B87896">
        <w:rPr>
          <w:rFonts w:ascii="Arial" w:hAnsi="Arial" w:cs="Arial"/>
          <w:bCs/>
        </w:rPr>
        <w:t xml:space="preserve">of student work </w:t>
      </w:r>
      <w:r w:rsidR="00F45C7D" w:rsidRPr="00B87896">
        <w:rPr>
          <w:rFonts w:ascii="Arial" w:hAnsi="Arial" w:cs="Arial"/>
          <w:bCs/>
        </w:rPr>
        <w:t>beyond the classroom,</w:t>
      </w:r>
      <w:r w:rsidR="00386E49" w:rsidRPr="00B87896">
        <w:rPr>
          <w:rFonts w:ascii="Arial" w:hAnsi="Arial" w:cs="Arial"/>
          <w:bCs/>
        </w:rPr>
        <w:t xml:space="preserve"> </w:t>
      </w:r>
      <w:r w:rsidR="00974E84" w:rsidRPr="00B87896">
        <w:rPr>
          <w:rFonts w:ascii="Arial" w:hAnsi="Arial" w:cs="Arial"/>
          <w:bCs/>
        </w:rPr>
        <w:t xml:space="preserve">service-learning, and experiential learning, </w:t>
      </w:r>
      <w:r w:rsidR="00C17F32" w:rsidRPr="00B87896">
        <w:rPr>
          <w:rFonts w:ascii="Arial" w:hAnsi="Arial" w:cs="Arial"/>
          <w:bCs/>
        </w:rPr>
        <w:t xml:space="preserve">which exceed the capacity of faculty within current WTU assignment </w:t>
      </w:r>
      <w:r w:rsidR="005909D1">
        <w:rPr>
          <w:rFonts w:ascii="Arial" w:hAnsi="Arial" w:cs="Arial"/>
          <w:bCs/>
        </w:rPr>
        <w:t>practices</w:t>
      </w:r>
      <w:r w:rsidR="00EC1578" w:rsidRPr="004B5588">
        <w:rPr>
          <w:rFonts w:ascii="Arial" w:hAnsi="Arial" w:cs="Arial"/>
          <w:bCs/>
        </w:rPr>
        <w:t>;</w:t>
      </w:r>
    </w:p>
    <w:p w14:paraId="743573C9" w14:textId="108E683A" w:rsidR="00040F61" w:rsidRDefault="00040F61" w:rsidP="00987DD2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Whereas, </w:t>
      </w:r>
      <w:r w:rsidR="00B75B0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Cal Poly Pomona has one of the highest student-faculty ratios, an indicator of excessive teaching loads</w:t>
      </w:r>
      <w:r w:rsidR="00111284">
        <w:rPr>
          <w:rFonts w:ascii="Arial" w:hAnsi="Arial" w:cs="Arial"/>
          <w:bCs/>
        </w:rPr>
        <w:t>, in the California State University system --</w:t>
      </w:r>
      <w:r>
        <w:rPr>
          <w:rFonts w:ascii="Arial" w:hAnsi="Arial" w:cs="Arial"/>
          <w:bCs/>
        </w:rPr>
        <w:t xml:space="preserve"> the second highest among CSU campuses in 2019, at 23.17</w:t>
      </w:r>
      <w:r w:rsidR="00057540">
        <w:rPr>
          <w:rStyle w:val="EndnoteReference"/>
          <w:rFonts w:ascii="Arial" w:hAnsi="Arial" w:cs="Arial"/>
          <w:bCs/>
        </w:rPr>
        <w:endnoteReference w:id="2"/>
      </w:r>
      <w:r w:rsidR="000F0DBA">
        <w:rPr>
          <w:rFonts w:ascii="Arial" w:hAnsi="Arial" w:cs="Arial"/>
          <w:bCs/>
        </w:rPr>
        <w:t>;</w:t>
      </w:r>
    </w:p>
    <w:p w14:paraId="764DD569" w14:textId="77777777" w:rsidR="0067577D" w:rsidRDefault="00FA66B5" w:rsidP="00D66EC3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Whereas</w:t>
      </w:r>
      <w:r w:rsidR="005B0980">
        <w:rPr>
          <w:rFonts w:ascii="Arial" w:hAnsi="Arial" w:cs="Arial"/>
          <w:bCs/>
        </w:rPr>
        <w:t>,</w:t>
      </w:r>
      <w:proofErr w:type="gramEnd"/>
      <w:r w:rsidR="005B0980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  <w:t>T</w:t>
      </w:r>
      <w:r w:rsidR="005B0980">
        <w:rPr>
          <w:rFonts w:ascii="Arial" w:hAnsi="Arial" w:cs="Arial"/>
          <w:bCs/>
        </w:rPr>
        <w:t xml:space="preserve">enure-line faculty in general </w:t>
      </w:r>
      <w:r w:rsidR="00B60C38">
        <w:rPr>
          <w:rFonts w:ascii="Arial" w:hAnsi="Arial" w:cs="Arial"/>
          <w:bCs/>
        </w:rPr>
        <w:t>maintain a 12 WTU/4-4 teaching load</w:t>
      </w:r>
      <w:r w:rsidR="00A26C1F">
        <w:rPr>
          <w:rFonts w:ascii="Arial" w:hAnsi="Arial" w:cs="Arial"/>
          <w:bCs/>
        </w:rPr>
        <w:t xml:space="preserve"> and receive 3 WTUs for service</w:t>
      </w:r>
      <w:r w:rsidR="003422D4">
        <w:rPr>
          <w:rFonts w:ascii="Arial" w:hAnsi="Arial" w:cs="Arial"/>
          <w:bCs/>
        </w:rPr>
        <w:t xml:space="preserve"> and 0 WTUs for research/scholarship/creative activities beyond the</w:t>
      </w:r>
      <w:r w:rsidR="0083639A">
        <w:rPr>
          <w:rFonts w:ascii="Arial" w:hAnsi="Arial" w:cs="Arial"/>
          <w:bCs/>
        </w:rPr>
        <w:t>ir</w:t>
      </w:r>
      <w:r w:rsidR="003422D4">
        <w:rPr>
          <w:rFonts w:ascii="Arial" w:hAnsi="Arial" w:cs="Arial"/>
          <w:bCs/>
        </w:rPr>
        <w:t xml:space="preserve"> first </w:t>
      </w:r>
      <w:r w:rsidR="0083639A">
        <w:rPr>
          <w:rFonts w:ascii="Arial" w:hAnsi="Arial" w:cs="Arial"/>
          <w:bCs/>
        </w:rPr>
        <w:t>two years</w:t>
      </w:r>
      <w:r w:rsidR="00A26C1F">
        <w:rPr>
          <w:rFonts w:ascii="Arial" w:hAnsi="Arial" w:cs="Arial"/>
          <w:bCs/>
        </w:rPr>
        <w:t>;</w:t>
      </w:r>
      <w:r w:rsidR="005B0980">
        <w:rPr>
          <w:rFonts w:ascii="Arial" w:hAnsi="Arial" w:cs="Arial"/>
          <w:bCs/>
        </w:rPr>
        <w:t xml:space="preserve"> </w:t>
      </w:r>
    </w:p>
    <w:p w14:paraId="6E5FB153" w14:textId="16312464" w:rsidR="003B665C" w:rsidRPr="00941196" w:rsidRDefault="003B665C" w:rsidP="00D66EC3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  <w:proofErr w:type="gramStart"/>
      <w:r w:rsidRPr="0054652A">
        <w:rPr>
          <w:rFonts w:ascii="Arial" w:hAnsi="Arial" w:cs="Arial"/>
          <w:bCs/>
        </w:rPr>
        <w:t>Whereas</w:t>
      </w:r>
      <w:r>
        <w:rPr>
          <w:rFonts w:ascii="Arial" w:hAnsi="Arial" w:cs="Arial"/>
          <w:bCs/>
        </w:rPr>
        <w:t>,</w:t>
      </w:r>
      <w:proofErr w:type="gramEnd"/>
      <w:r w:rsidRPr="0054652A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  <w:t>Temporary</w:t>
      </w:r>
      <w:r w:rsidR="00B75B0F" w:rsidRPr="0054652A">
        <w:rPr>
          <w:rFonts w:ascii="Arial" w:hAnsi="Arial" w:cs="Arial"/>
          <w:bCs/>
        </w:rPr>
        <w:t xml:space="preserve"> </w:t>
      </w:r>
      <w:r w:rsidRPr="0054652A">
        <w:rPr>
          <w:rFonts w:ascii="Arial" w:hAnsi="Arial" w:cs="Arial"/>
          <w:bCs/>
        </w:rPr>
        <w:t>faculty</w:t>
      </w:r>
      <w:r>
        <w:rPr>
          <w:rFonts w:ascii="Arial" w:hAnsi="Arial" w:cs="Arial"/>
          <w:bCs/>
        </w:rPr>
        <w:t xml:space="preserve"> members</w:t>
      </w:r>
      <w:r w:rsidRPr="005465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(lecturers) </w:t>
      </w:r>
      <w:r w:rsidRPr="0054652A">
        <w:rPr>
          <w:rFonts w:ascii="Arial" w:hAnsi="Arial" w:cs="Arial"/>
          <w:bCs/>
        </w:rPr>
        <w:t xml:space="preserve">in general </w:t>
      </w:r>
      <w:r w:rsidR="00F41110">
        <w:rPr>
          <w:rFonts w:ascii="Arial" w:hAnsi="Arial" w:cs="Arial"/>
          <w:bCs/>
        </w:rPr>
        <w:t>receive</w:t>
      </w:r>
      <w:r w:rsidR="0083639A">
        <w:rPr>
          <w:rFonts w:ascii="Arial" w:hAnsi="Arial" w:cs="Arial"/>
          <w:bCs/>
        </w:rPr>
        <w:t xml:space="preserve"> 0</w:t>
      </w:r>
      <w:r w:rsidR="00F41110">
        <w:rPr>
          <w:rFonts w:ascii="Arial" w:hAnsi="Arial" w:cs="Arial"/>
          <w:bCs/>
        </w:rPr>
        <w:t xml:space="preserve"> </w:t>
      </w:r>
      <w:r w:rsidRPr="0054652A">
        <w:rPr>
          <w:rFonts w:ascii="Arial" w:hAnsi="Arial" w:cs="Arial"/>
          <w:bCs/>
        </w:rPr>
        <w:t>WTUs for research</w:t>
      </w:r>
      <w:r>
        <w:rPr>
          <w:rFonts w:ascii="Arial" w:hAnsi="Arial" w:cs="Arial"/>
          <w:bCs/>
        </w:rPr>
        <w:t>/</w:t>
      </w:r>
      <w:r w:rsidRPr="0054652A">
        <w:rPr>
          <w:rFonts w:ascii="Arial" w:hAnsi="Arial" w:cs="Arial"/>
          <w:bCs/>
        </w:rPr>
        <w:t>scholarship</w:t>
      </w:r>
      <w:r>
        <w:rPr>
          <w:rFonts w:ascii="Arial" w:hAnsi="Arial" w:cs="Arial"/>
          <w:bCs/>
        </w:rPr>
        <w:t>/</w:t>
      </w:r>
      <w:r w:rsidRPr="0054652A">
        <w:rPr>
          <w:rFonts w:ascii="Arial" w:hAnsi="Arial" w:cs="Arial"/>
          <w:bCs/>
        </w:rPr>
        <w:t>creative activit</w:t>
      </w:r>
      <w:r>
        <w:rPr>
          <w:rFonts w:ascii="Arial" w:hAnsi="Arial" w:cs="Arial"/>
          <w:bCs/>
        </w:rPr>
        <w:t>ies</w:t>
      </w:r>
      <w:r w:rsidRPr="0054652A">
        <w:rPr>
          <w:rFonts w:ascii="Arial" w:hAnsi="Arial" w:cs="Arial"/>
          <w:bCs/>
        </w:rPr>
        <w:t xml:space="preserve"> and/or service to the University, profession and to the community</w:t>
      </w:r>
      <w:r w:rsidR="00A26C1F">
        <w:rPr>
          <w:rFonts w:ascii="Arial" w:hAnsi="Arial" w:cs="Arial"/>
          <w:bCs/>
        </w:rPr>
        <w:t>;</w:t>
      </w:r>
    </w:p>
    <w:p w14:paraId="39D8239F" w14:textId="2C0D1D3B" w:rsidR="00C506C9" w:rsidRPr="0054652A" w:rsidRDefault="00C17F32" w:rsidP="00B75B0F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  <w:proofErr w:type="gramStart"/>
      <w:r w:rsidRPr="0054652A">
        <w:rPr>
          <w:rFonts w:ascii="Arial" w:hAnsi="Arial" w:cs="Arial"/>
          <w:bCs/>
        </w:rPr>
        <w:t>Whereas</w:t>
      </w:r>
      <w:r w:rsidR="001E7A0D">
        <w:rPr>
          <w:rFonts w:ascii="Arial" w:hAnsi="Arial" w:cs="Arial"/>
          <w:bCs/>
        </w:rPr>
        <w:t>,</w:t>
      </w:r>
      <w:proofErr w:type="gramEnd"/>
      <w:r w:rsidRPr="0054652A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  <w:t>C</w:t>
      </w:r>
      <w:r w:rsidR="00B75B0F" w:rsidRPr="0054652A">
        <w:rPr>
          <w:rFonts w:ascii="Arial" w:hAnsi="Arial" w:cs="Arial"/>
          <w:bCs/>
        </w:rPr>
        <w:t>ampuswide</w:t>
      </w:r>
      <w:r w:rsidRPr="0054652A">
        <w:rPr>
          <w:rFonts w:ascii="Arial" w:hAnsi="Arial" w:cs="Arial"/>
          <w:bCs/>
        </w:rPr>
        <w:t>, lecturer faculty assert that their ability to deliver high-quality</w:t>
      </w:r>
      <w:r w:rsidR="00050712" w:rsidRPr="0054652A">
        <w:rPr>
          <w:rFonts w:ascii="Arial" w:hAnsi="Arial" w:cs="Arial"/>
          <w:bCs/>
        </w:rPr>
        <w:t xml:space="preserve">, time and labor labor-intensive </w:t>
      </w:r>
      <w:r w:rsidRPr="0054652A">
        <w:rPr>
          <w:rFonts w:ascii="Arial" w:hAnsi="Arial" w:cs="Arial"/>
          <w:bCs/>
        </w:rPr>
        <w:t xml:space="preserve">LTD instruction </w:t>
      </w:r>
      <w:r w:rsidR="00D00598" w:rsidRPr="0054652A">
        <w:rPr>
          <w:rFonts w:ascii="Arial" w:hAnsi="Arial" w:cs="Arial"/>
          <w:bCs/>
        </w:rPr>
        <w:t xml:space="preserve">and/or to obtain consideration for tenure-line positions </w:t>
      </w:r>
      <w:r w:rsidR="000B698C">
        <w:rPr>
          <w:rFonts w:ascii="Arial" w:hAnsi="Arial" w:cs="Arial"/>
          <w:bCs/>
        </w:rPr>
        <w:t xml:space="preserve">under </w:t>
      </w:r>
      <w:r w:rsidR="00D00598" w:rsidRPr="0054652A">
        <w:rPr>
          <w:rFonts w:ascii="Arial" w:hAnsi="Arial" w:cs="Arial"/>
          <w:bCs/>
        </w:rPr>
        <w:t xml:space="preserve">current </w:t>
      </w:r>
      <w:r w:rsidR="000B698C">
        <w:rPr>
          <w:rFonts w:ascii="Arial" w:hAnsi="Arial" w:cs="Arial"/>
          <w:bCs/>
        </w:rPr>
        <w:t>practices</w:t>
      </w:r>
      <w:r w:rsidR="000B698C" w:rsidRPr="0054652A">
        <w:rPr>
          <w:rFonts w:ascii="Arial" w:hAnsi="Arial" w:cs="Arial"/>
          <w:bCs/>
        </w:rPr>
        <w:t xml:space="preserve"> </w:t>
      </w:r>
      <w:r w:rsidRPr="0054652A">
        <w:rPr>
          <w:rFonts w:ascii="Arial" w:hAnsi="Arial" w:cs="Arial"/>
          <w:bCs/>
        </w:rPr>
        <w:t xml:space="preserve">is </w:t>
      </w:r>
      <w:r w:rsidR="005B1DA9">
        <w:rPr>
          <w:rFonts w:ascii="Arial" w:hAnsi="Arial" w:cs="Arial"/>
          <w:bCs/>
        </w:rPr>
        <w:t>inhibited</w:t>
      </w:r>
      <w:r w:rsidR="005B1DA9" w:rsidRPr="0054652A">
        <w:rPr>
          <w:rFonts w:ascii="Arial" w:hAnsi="Arial" w:cs="Arial"/>
          <w:bCs/>
        </w:rPr>
        <w:t xml:space="preserve"> </w:t>
      </w:r>
      <w:r w:rsidRPr="0054652A">
        <w:rPr>
          <w:rFonts w:ascii="Arial" w:hAnsi="Arial" w:cs="Arial"/>
          <w:bCs/>
        </w:rPr>
        <w:t xml:space="preserve">due to </w:t>
      </w:r>
      <w:r w:rsidR="00C506C9" w:rsidRPr="0054652A">
        <w:rPr>
          <w:rFonts w:ascii="Arial" w:hAnsi="Arial" w:cs="Arial"/>
          <w:bCs/>
        </w:rPr>
        <w:t>the following factors:</w:t>
      </w:r>
    </w:p>
    <w:p w14:paraId="3F1B3387" w14:textId="3C8DF107" w:rsidR="00C506C9" w:rsidRPr="0054652A" w:rsidRDefault="003F0607" w:rsidP="00C506C9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54652A">
        <w:rPr>
          <w:rFonts w:ascii="Arial" w:hAnsi="Arial" w:cs="Arial"/>
          <w:bCs/>
        </w:rPr>
        <w:t xml:space="preserve">ack </w:t>
      </w:r>
      <w:r w:rsidR="00C506C9" w:rsidRPr="0054652A">
        <w:rPr>
          <w:rFonts w:ascii="Arial" w:hAnsi="Arial" w:cs="Arial"/>
          <w:bCs/>
        </w:rPr>
        <w:t>of compensation for research and publication assigned time which limits currency in the classroom and/or forces unpaid labor,</w:t>
      </w:r>
    </w:p>
    <w:p w14:paraId="09433017" w14:textId="3E90A675" w:rsidR="00C506C9" w:rsidRPr="0054652A" w:rsidRDefault="003F0607" w:rsidP="00C506C9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54652A">
        <w:rPr>
          <w:rFonts w:ascii="Arial" w:hAnsi="Arial" w:cs="Arial"/>
          <w:bCs/>
        </w:rPr>
        <w:t xml:space="preserve">ack </w:t>
      </w:r>
      <w:r w:rsidR="00C506C9" w:rsidRPr="0054652A">
        <w:rPr>
          <w:rFonts w:ascii="Arial" w:hAnsi="Arial" w:cs="Arial"/>
          <w:bCs/>
        </w:rPr>
        <w:t>of compensation for service assigned time which limits campuswide representation and collaboration and/or forces unpaid labor,</w:t>
      </w:r>
    </w:p>
    <w:p w14:paraId="0A4025A9" w14:textId="0D881487" w:rsidR="00C17F32" w:rsidRPr="0054652A" w:rsidRDefault="003F0607" w:rsidP="00C17F32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54652A">
        <w:rPr>
          <w:rFonts w:ascii="Arial" w:hAnsi="Arial" w:cs="Arial"/>
          <w:bCs/>
        </w:rPr>
        <w:t xml:space="preserve">ack </w:t>
      </w:r>
      <w:r w:rsidR="00C506C9" w:rsidRPr="0054652A">
        <w:rPr>
          <w:rFonts w:ascii="Arial" w:hAnsi="Arial" w:cs="Arial"/>
          <w:bCs/>
        </w:rPr>
        <w:t xml:space="preserve">of compensation for professional development which limits currency in the classroom, collaboration, and/or forces unpaid </w:t>
      </w:r>
      <w:proofErr w:type="gramStart"/>
      <w:r w:rsidR="00C506C9" w:rsidRPr="0054652A">
        <w:rPr>
          <w:rFonts w:ascii="Arial" w:hAnsi="Arial" w:cs="Arial"/>
          <w:bCs/>
        </w:rPr>
        <w:t>labor</w:t>
      </w:r>
      <w:r w:rsidR="00D35E03" w:rsidRPr="0054652A">
        <w:rPr>
          <w:rFonts w:ascii="Arial" w:hAnsi="Arial" w:cs="Arial"/>
          <w:bCs/>
        </w:rPr>
        <w:t>;</w:t>
      </w:r>
      <w:proofErr w:type="gramEnd"/>
    </w:p>
    <w:p w14:paraId="0503BB37" w14:textId="50F1CA76" w:rsidR="00C17F32" w:rsidRPr="0054652A" w:rsidRDefault="00C17F32" w:rsidP="00B75B0F">
      <w:pPr>
        <w:tabs>
          <w:tab w:val="left" w:pos="720"/>
        </w:tabs>
        <w:spacing w:before="100" w:beforeAutospacing="1" w:after="0" w:line="240" w:lineRule="auto"/>
        <w:ind w:left="1440" w:hanging="1440"/>
        <w:rPr>
          <w:rFonts w:ascii="Arial" w:hAnsi="Arial" w:cs="Arial"/>
          <w:bCs/>
        </w:rPr>
      </w:pPr>
      <w:proofErr w:type="gramStart"/>
      <w:r w:rsidRPr="0054652A">
        <w:rPr>
          <w:rFonts w:ascii="Arial" w:hAnsi="Arial" w:cs="Arial"/>
          <w:bCs/>
        </w:rPr>
        <w:t>Whereas</w:t>
      </w:r>
      <w:r w:rsidR="001E7A0D">
        <w:rPr>
          <w:rFonts w:ascii="Arial" w:hAnsi="Arial" w:cs="Arial"/>
          <w:bCs/>
        </w:rPr>
        <w:t>,</w:t>
      </w:r>
      <w:proofErr w:type="gramEnd"/>
      <w:r w:rsidRPr="0054652A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  <w:t>C</w:t>
      </w:r>
      <w:r w:rsidR="00B75B0F" w:rsidRPr="0054652A">
        <w:rPr>
          <w:rFonts w:ascii="Arial" w:hAnsi="Arial" w:cs="Arial"/>
          <w:bCs/>
        </w:rPr>
        <w:t>ampuswide</w:t>
      </w:r>
      <w:r w:rsidRPr="0054652A">
        <w:rPr>
          <w:rFonts w:ascii="Arial" w:hAnsi="Arial" w:cs="Arial"/>
          <w:bCs/>
        </w:rPr>
        <w:t xml:space="preserve">, tenure-line </w:t>
      </w:r>
      <w:r w:rsidR="00937F30" w:rsidRPr="0054652A">
        <w:rPr>
          <w:rFonts w:ascii="Arial" w:hAnsi="Arial" w:cs="Arial"/>
          <w:bCs/>
        </w:rPr>
        <w:t>faculty</w:t>
      </w:r>
      <w:r w:rsidRPr="0054652A">
        <w:rPr>
          <w:rFonts w:ascii="Arial" w:hAnsi="Arial" w:cs="Arial"/>
          <w:bCs/>
        </w:rPr>
        <w:t xml:space="preserve"> assert that their ability to deliver high-quality</w:t>
      </w:r>
      <w:r w:rsidR="00050712" w:rsidRPr="0054652A">
        <w:rPr>
          <w:rFonts w:ascii="Arial" w:hAnsi="Arial" w:cs="Arial"/>
          <w:bCs/>
        </w:rPr>
        <w:t>, time and labor-intensive</w:t>
      </w:r>
      <w:r w:rsidRPr="0054652A">
        <w:rPr>
          <w:rFonts w:ascii="Arial" w:hAnsi="Arial" w:cs="Arial"/>
          <w:bCs/>
        </w:rPr>
        <w:t xml:space="preserve"> LTD instruction is </w:t>
      </w:r>
      <w:r w:rsidR="005B1DA9">
        <w:rPr>
          <w:rFonts w:ascii="Arial" w:hAnsi="Arial" w:cs="Arial"/>
          <w:bCs/>
        </w:rPr>
        <w:t>inhibited</w:t>
      </w:r>
      <w:r w:rsidR="00C506C9" w:rsidRPr="0054652A">
        <w:rPr>
          <w:rFonts w:ascii="Arial" w:hAnsi="Arial" w:cs="Arial"/>
          <w:bCs/>
        </w:rPr>
        <w:t xml:space="preserve"> due to the following factors: </w:t>
      </w:r>
    </w:p>
    <w:p w14:paraId="4C6F7687" w14:textId="495AFC69" w:rsidR="00C506C9" w:rsidRPr="0054652A" w:rsidRDefault="00AD14F4" w:rsidP="00C506C9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54652A">
        <w:rPr>
          <w:rFonts w:ascii="Arial" w:hAnsi="Arial" w:cs="Arial"/>
          <w:bCs/>
        </w:rPr>
        <w:t xml:space="preserve">xponentially </w:t>
      </w:r>
      <w:r w:rsidR="00C506C9" w:rsidRPr="0054652A">
        <w:rPr>
          <w:rFonts w:ascii="Arial" w:hAnsi="Arial" w:cs="Arial"/>
          <w:bCs/>
        </w:rPr>
        <w:t xml:space="preserve">increased service demands which frequently </w:t>
      </w:r>
      <w:r w:rsidR="00A8341A">
        <w:rPr>
          <w:rFonts w:ascii="Arial" w:hAnsi="Arial" w:cs="Arial"/>
          <w:bCs/>
        </w:rPr>
        <w:t xml:space="preserve">necessitates </w:t>
      </w:r>
      <w:r w:rsidR="006651B4" w:rsidRPr="0054652A">
        <w:rPr>
          <w:rFonts w:ascii="Arial" w:hAnsi="Arial" w:cs="Arial"/>
          <w:bCs/>
        </w:rPr>
        <w:t>more than</w:t>
      </w:r>
      <w:r w:rsidR="00B57C44" w:rsidRPr="0054652A">
        <w:rPr>
          <w:rFonts w:ascii="Arial" w:hAnsi="Arial" w:cs="Arial"/>
          <w:bCs/>
        </w:rPr>
        <w:t xml:space="preserve"> forty</w:t>
      </w:r>
      <w:r w:rsidR="00C506C9" w:rsidRPr="0054652A">
        <w:rPr>
          <w:rFonts w:ascii="Arial" w:hAnsi="Arial" w:cs="Arial"/>
          <w:bCs/>
        </w:rPr>
        <w:t xml:space="preserve"> hours per week in department, college, and university committee meetings, </w:t>
      </w:r>
      <w:r w:rsidR="00B57C44" w:rsidRPr="0054652A">
        <w:rPr>
          <w:rFonts w:ascii="Arial" w:hAnsi="Arial" w:cs="Arial"/>
          <w:bCs/>
        </w:rPr>
        <w:t xml:space="preserve">preparing reports, and transmitting e-communications, </w:t>
      </w:r>
      <w:r w:rsidR="00A8341A">
        <w:rPr>
          <w:rFonts w:ascii="Arial" w:hAnsi="Arial" w:cs="Arial"/>
          <w:bCs/>
        </w:rPr>
        <w:t>resulting in</w:t>
      </w:r>
      <w:r w:rsidR="00C506C9" w:rsidRPr="0054652A">
        <w:rPr>
          <w:rFonts w:ascii="Arial" w:hAnsi="Arial" w:cs="Arial"/>
          <w:bCs/>
        </w:rPr>
        <w:t xml:space="preserve"> unpaid </w:t>
      </w:r>
      <w:proofErr w:type="gramStart"/>
      <w:r w:rsidR="00C506C9" w:rsidRPr="0054652A">
        <w:rPr>
          <w:rFonts w:ascii="Arial" w:hAnsi="Arial" w:cs="Arial"/>
          <w:bCs/>
        </w:rPr>
        <w:t>labor</w:t>
      </w:r>
      <w:proofErr w:type="gramEnd"/>
      <w:r w:rsidR="00B57C44" w:rsidRPr="0054652A">
        <w:rPr>
          <w:rFonts w:ascii="Arial" w:hAnsi="Arial" w:cs="Arial"/>
          <w:bCs/>
        </w:rPr>
        <w:t xml:space="preserve"> and </w:t>
      </w:r>
      <w:r w:rsidR="00A8341A">
        <w:rPr>
          <w:rFonts w:ascii="Arial" w:hAnsi="Arial" w:cs="Arial"/>
          <w:bCs/>
        </w:rPr>
        <w:t xml:space="preserve">undermining </w:t>
      </w:r>
      <w:r w:rsidR="00B57C44" w:rsidRPr="0054652A">
        <w:rPr>
          <w:rFonts w:ascii="Arial" w:hAnsi="Arial" w:cs="Arial"/>
          <w:bCs/>
        </w:rPr>
        <w:t>effective teaching, mentoring, advising</w:t>
      </w:r>
      <w:r w:rsidR="00C506C9" w:rsidRPr="0054652A">
        <w:rPr>
          <w:rFonts w:ascii="Arial" w:hAnsi="Arial" w:cs="Arial"/>
          <w:bCs/>
        </w:rPr>
        <w:t>,</w:t>
      </w:r>
      <w:r w:rsidR="00987CDB" w:rsidRPr="0054652A">
        <w:rPr>
          <w:rFonts w:ascii="Arial" w:hAnsi="Arial" w:cs="Arial"/>
          <w:bCs/>
        </w:rPr>
        <w:t xml:space="preserve"> and supervision of students</w:t>
      </w:r>
      <w:r w:rsidR="00CD444E">
        <w:rPr>
          <w:rFonts w:ascii="Arial" w:hAnsi="Arial" w:cs="Arial"/>
          <w:bCs/>
        </w:rPr>
        <w:t>,</w:t>
      </w:r>
    </w:p>
    <w:p w14:paraId="4279336E" w14:textId="7BC40B7E" w:rsidR="00C506C9" w:rsidRPr="0054652A" w:rsidRDefault="00A4310D" w:rsidP="00C506C9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54652A">
        <w:rPr>
          <w:rFonts w:ascii="Arial" w:hAnsi="Arial" w:cs="Arial"/>
          <w:bCs/>
        </w:rPr>
        <w:t xml:space="preserve">nability </w:t>
      </w:r>
      <w:r w:rsidR="00C506C9" w:rsidRPr="0054652A">
        <w:rPr>
          <w:rFonts w:ascii="Arial" w:hAnsi="Arial" w:cs="Arial"/>
          <w:bCs/>
        </w:rPr>
        <w:t xml:space="preserve">to supervise undergraduate research due to </w:t>
      </w:r>
      <w:r w:rsidR="00FD7A65">
        <w:rPr>
          <w:rFonts w:ascii="Arial" w:hAnsi="Arial" w:cs="Arial"/>
          <w:bCs/>
        </w:rPr>
        <w:t>excessive teaching</w:t>
      </w:r>
      <w:r w:rsidR="00C506C9" w:rsidRPr="0054652A">
        <w:rPr>
          <w:rFonts w:ascii="Arial" w:hAnsi="Arial" w:cs="Arial"/>
          <w:bCs/>
        </w:rPr>
        <w:t xml:space="preserve"> </w:t>
      </w:r>
      <w:r w:rsidR="00FD7A65">
        <w:rPr>
          <w:rFonts w:ascii="Arial" w:hAnsi="Arial" w:cs="Arial"/>
          <w:bCs/>
        </w:rPr>
        <w:t>loads</w:t>
      </w:r>
      <w:r w:rsidR="00CD444E">
        <w:rPr>
          <w:rFonts w:ascii="Arial" w:hAnsi="Arial" w:cs="Arial"/>
          <w:bCs/>
        </w:rPr>
        <w:t>,</w:t>
      </w:r>
    </w:p>
    <w:p w14:paraId="2DF7E986" w14:textId="4BC91024" w:rsidR="00C506C9" w:rsidRPr="0054652A" w:rsidRDefault="00184980" w:rsidP="00C506C9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54652A">
        <w:rPr>
          <w:rFonts w:ascii="Arial" w:hAnsi="Arial" w:cs="Arial"/>
          <w:bCs/>
        </w:rPr>
        <w:t xml:space="preserve">nability </w:t>
      </w:r>
      <w:r w:rsidR="00C506C9" w:rsidRPr="0054652A">
        <w:rPr>
          <w:rFonts w:ascii="Arial" w:hAnsi="Arial" w:cs="Arial"/>
          <w:bCs/>
        </w:rPr>
        <w:t xml:space="preserve">to adequately mentor and advise students due to </w:t>
      </w:r>
      <w:r w:rsidR="00853399">
        <w:rPr>
          <w:rFonts w:ascii="Arial" w:hAnsi="Arial" w:cs="Arial"/>
          <w:bCs/>
        </w:rPr>
        <w:t xml:space="preserve">excessive </w:t>
      </w:r>
      <w:r>
        <w:rPr>
          <w:rFonts w:ascii="Arial" w:hAnsi="Arial" w:cs="Arial"/>
          <w:bCs/>
        </w:rPr>
        <w:t>teaching loads</w:t>
      </w:r>
      <w:r w:rsidR="00CD444E">
        <w:rPr>
          <w:rFonts w:ascii="Arial" w:hAnsi="Arial" w:cs="Arial"/>
          <w:bCs/>
        </w:rPr>
        <w:t>,</w:t>
      </w:r>
    </w:p>
    <w:p w14:paraId="797882F1" w14:textId="6C1DBF8C" w:rsidR="008F273E" w:rsidRPr="0054652A" w:rsidRDefault="00A60359" w:rsidP="00C506C9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54652A">
        <w:rPr>
          <w:rFonts w:ascii="Arial" w:hAnsi="Arial" w:cs="Arial"/>
          <w:bCs/>
        </w:rPr>
        <w:t xml:space="preserve">nability </w:t>
      </w:r>
      <w:r w:rsidR="00C506C9" w:rsidRPr="0054652A">
        <w:rPr>
          <w:rFonts w:ascii="Arial" w:hAnsi="Arial" w:cs="Arial"/>
          <w:bCs/>
        </w:rPr>
        <w:t xml:space="preserve">to conduct and publish research, which limits currency in the </w:t>
      </w:r>
      <w:proofErr w:type="gramStart"/>
      <w:r w:rsidR="00C506C9" w:rsidRPr="0054652A">
        <w:rPr>
          <w:rFonts w:ascii="Arial" w:hAnsi="Arial" w:cs="Arial"/>
          <w:bCs/>
        </w:rPr>
        <w:t>classroom</w:t>
      </w:r>
      <w:r w:rsidR="002E25AF" w:rsidRPr="0054652A">
        <w:rPr>
          <w:rFonts w:ascii="Arial" w:hAnsi="Arial" w:cs="Arial"/>
          <w:bCs/>
        </w:rPr>
        <w:t>;</w:t>
      </w:r>
      <w:proofErr w:type="gramEnd"/>
    </w:p>
    <w:p w14:paraId="189791C2" w14:textId="77777777" w:rsidR="00E62A14" w:rsidRPr="0054652A" w:rsidRDefault="00E62A14" w:rsidP="002E25AF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</w:p>
    <w:p w14:paraId="47B420E6" w14:textId="4C898500" w:rsidR="00D00598" w:rsidRPr="0054652A" w:rsidRDefault="00D00598" w:rsidP="002E25AF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</w:p>
    <w:p w14:paraId="036D9DEA" w14:textId="34801616" w:rsidR="002E25AF" w:rsidRPr="00CD444E" w:rsidRDefault="00105970" w:rsidP="002F20A9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  <w:proofErr w:type="gramStart"/>
      <w:r w:rsidRPr="0054652A">
        <w:rPr>
          <w:rFonts w:ascii="Arial" w:hAnsi="Arial" w:cs="Arial"/>
          <w:bCs/>
        </w:rPr>
        <w:t>Whereas,</w:t>
      </w:r>
      <w:proofErr w:type="gramEnd"/>
      <w:r w:rsidRPr="0054652A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</w:r>
      <w:r w:rsidR="00B75B0F" w:rsidRPr="00CD444E">
        <w:rPr>
          <w:rFonts w:ascii="Arial" w:hAnsi="Arial" w:cs="Arial"/>
          <w:bCs/>
        </w:rPr>
        <w:t xml:space="preserve">Peer </w:t>
      </w:r>
      <w:r w:rsidRPr="00CD444E">
        <w:rPr>
          <w:rFonts w:ascii="Arial" w:hAnsi="Arial" w:cs="Arial"/>
          <w:bCs/>
        </w:rPr>
        <w:t>institutions</w:t>
      </w:r>
      <w:r w:rsidR="0071163A" w:rsidRPr="00CD444E">
        <w:rPr>
          <w:rFonts w:ascii="Arial" w:hAnsi="Arial" w:cs="Arial"/>
          <w:bCs/>
        </w:rPr>
        <w:t>,</w:t>
      </w:r>
      <w:r w:rsidR="00050712" w:rsidRPr="00CD444E">
        <w:rPr>
          <w:rFonts w:ascii="Arial" w:hAnsi="Arial" w:cs="Arial"/>
          <w:bCs/>
        </w:rPr>
        <w:t xml:space="preserve"> </w:t>
      </w:r>
      <w:r w:rsidR="00DC5917" w:rsidRPr="00CD444E">
        <w:rPr>
          <w:rFonts w:ascii="Arial" w:hAnsi="Arial" w:cs="Arial"/>
          <w:bCs/>
        </w:rPr>
        <w:t xml:space="preserve">such as </w:t>
      </w:r>
      <w:r w:rsidRPr="00CD444E">
        <w:rPr>
          <w:rFonts w:ascii="Arial" w:hAnsi="Arial" w:cs="Arial"/>
          <w:bCs/>
        </w:rPr>
        <w:t xml:space="preserve">San Jose </w:t>
      </w:r>
      <w:r w:rsidR="006D40C9" w:rsidRPr="00CD444E">
        <w:rPr>
          <w:rFonts w:ascii="Arial" w:hAnsi="Arial" w:cs="Arial"/>
          <w:bCs/>
        </w:rPr>
        <w:t xml:space="preserve">State, </w:t>
      </w:r>
      <w:r w:rsidR="002F20A9" w:rsidRPr="00CD444E">
        <w:rPr>
          <w:rFonts w:ascii="Arial" w:hAnsi="Arial" w:cs="Arial"/>
          <w:bCs/>
        </w:rPr>
        <w:t>have endorsed campus senate resolutions alleviating excess faculty workload</w:t>
      </w:r>
      <w:r w:rsidR="00A47B3E" w:rsidRPr="00CD444E">
        <w:rPr>
          <w:rStyle w:val="EndnoteReference"/>
          <w:rFonts w:ascii="Arial" w:hAnsi="Arial" w:cs="Arial"/>
          <w:bCs/>
        </w:rPr>
        <w:endnoteReference w:id="3"/>
      </w:r>
      <w:r w:rsidR="00A754D9" w:rsidRPr="00CD444E">
        <w:rPr>
          <w:rFonts w:ascii="Arial" w:hAnsi="Arial" w:cs="Arial"/>
          <w:bCs/>
        </w:rPr>
        <w:t>;</w:t>
      </w:r>
    </w:p>
    <w:p w14:paraId="12C07713" w14:textId="7CA4D337" w:rsidR="00432AD0" w:rsidRPr="00CD444E" w:rsidRDefault="00432AD0" w:rsidP="002E25AF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</w:p>
    <w:p w14:paraId="5A47D17A" w14:textId="118547A4" w:rsidR="00432AD0" w:rsidRDefault="00432AD0" w:rsidP="00227C5A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  <w:proofErr w:type="gramStart"/>
      <w:r w:rsidRPr="00CD444E">
        <w:rPr>
          <w:rFonts w:ascii="Arial" w:hAnsi="Arial" w:cs="Arial"/>
          <w:bCs/>
        </w:rPr>
        <w:t>Whereas,</w:t>
      </w:r>
      <w:proofErr w:type="gramEnd"/>
      <w:r w:rsidR="00B75B0F" w:rsidRPr="00CD444E">
        <w:rPr>
          <w:rFonts w:ascii="Arial" w:hAnsi="Arial" w:cs="Arial"/>
          <w:bCs/>
        </w:rPr>
        <w:tab/>
      </w:r>
      <w:r w:rsidR="00227C5A" w:rsidRPr="00CD444E">
        <w:rPr>
          <w:rFonts w:ascii="Arial" w:hAnsi="Arial" w:cs="Arial"/>
          <w:bCs/>
        </w:rPr>
        <w:t xml:space="preserve">Peer institution </w:t>
      </w:r>
      <w:r w:rsidRPr="00CD444E">
        <w:rPr>
          <w:rFonts w:ascii="Arial" w:hAnsi="Arial" w:cs="Arial"/>
          <w:bCs/>
        </w:rPr>
        <w:t xml:space="preserve">Cal Poly SLO has </w:t>
      </w:r>
      <w:r w:rsidR="00227C5A" w:rsidRPr="00CD444E">
        <w:rPr>
          <w:rFonts w:ascii="Arial" w:hAnsi="Arial" w:cs="Arial"/>
          <w:bCs/>
        </w:rPr>
        <w:t>endorsed CFA-SLO Statement on Workload and Semester Conversion</w:t>
      </w:r>
      <w:r w:rsidRPr="00CD444E">
        <w:rPr>
          <w:rFonts w:ascii="Arial" w:hAnsi="Arial" w:cs="Arial"/>
          <w:bCs/>
        </w:rPr>
        <w:t xml:space="preserve"> to address </w:t>
      </w:r>
      <w:r w:rsidR="00E62A14" w:rsidRPr="00CD444E">
        <w:rPr>
          <w:rFonts w:ascii="Arial" w:hAnsi="Arial" w:cs="Arial"/>
          <w:bCs/>
        </w:rPr>
        <w:t xml:space="preserve">similar </w:t>
      </w:r>
      <w:r w:rsidR="00227C5A" w:rsidRPr="00CD444E">
        <w:rPr>
          <w:rFonts w:ascii="Arial" w:hAnsi="Arial" w:cs="Arial"/>
          <w:bCs/>
        </w:rPr>
        <w:t xml:space="preserve">workload </w:t>
      </w:r>
      <w:r w:rsidR="00FB5E7F" w:rsidRPr="00CD444E">
        <w:rPr>
          <w:rFonts w:ascii="Arial" w:hAnsi="Arial" w:cs="Arial"/>
          <w:bCs/>
        </w:rPr>
        <w:t>issues</w:t>
      </w:r>
      <w:r w:rsidR="00E62A14" w:rsidRPr="00CD444E">
        <w:rPr>
          <w:rFonts w:ascii="Arial" w:hAnsi="Arial" w:cs="Arial"/>
          <w:bCs/>
        </w:rPr>
        <w:t xml:space="preserve"> in the polytechnic context</w:t>
      </w:r>
      <w:r w:rsidR="00A47B3E" w:rsidRPr="00CD444E">
        <w:rPr>
          <w:rStyle w:val="EndnoteReference"/>
          <w:rFonts w:ascii="Arial" w:hAnsi="Arial" w:cs="Arial"/>
          <w:bCs/>
        </w:rPr>
        <w:endnoteReference w:id="4"/>
      </w:r>
      <w:r w:rsidR="00E62A14" w:rsidRPr="00CD444E">
        <w:rPr>
          <w:rFonts w:ascii="Arial" w:hAnsi="Arial" w:cs="Arial"/>
          <w:bCs/>
        </w:rPr>
        <w:t>;</w:t>
      </w:r>
    </w:p>
    <w:p w14:paraId="2100BD3F" w14:textId="3468E56A" w:rsidR="003365C2" w:rsidRDefault="003365C2" w:rsidP="002E25AF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</w:p>
    <w:p w14:paraId="4E820282" w14:textId="6D0456BB" w:rsidR="003365C2" w:rsidRDefault="003365C2" w:rsidP="003365C2">
      <w:pPr>
        <w:pStyle w:val="Defaul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Whereas,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sz w:val="22"/>
          <w:szCs w:val="22"/>
        </w:rPr>
        <w:t>Counseling and Psychological Services (CAPS) currently has one counselor per 2,900 students, which is out of compliance with the recommended ratio of one counselor for every 1,000-1,500 students per its accrediting agency, the International Accreditation of Counseling Services (IACS</w:t>
      </w:r>
      <w:proofErr w:type="gramStart"/>
      <w:r>
        <w:rPr>
          <w:rFonts w:ascii="Arial" w:hAnsi="Arial" w:cs="Arial"/>
          <w:sz w:val="22"/>
          <w:szCs w:val="22"/>
        </w:rPr>
        <w:t>);</w:t>
      </w:r>
      <w:proofErr w:type="gramEnd"/>
    </w:p>
    <w:p w14:paraId="5F6CF72F" w14:textId="77777777" w:rsidR="003365C2" w:rsidRDefault="003365C2" w:rsidP="003365C2">
      <w:pPr>
        <w:pStyle w:val="Default"/>
        <w:ind w:left="1440" w:hanging="1440"/>
        <w:rPr>
          <w:rFonts w:ascii="Arial" w:hAnsi="Arial" w:cs="Arial"/>
          <w:sz w:val="22"/>
          <w:szCs w:val="22"/>
        </w:rPr>
      </w:pPr>
    </w:p>
    <w:p w14:paraId="7724D0CD" w14:textId="5BAC86AE" w:rsidR="003365C2" w:rsidRDefault="003365C2" w:rsidP="003365C2">
      <w:pPr>
        <w:pStyle w:val="Defaul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The University Library currently employs 7 tenure-line librarians, the smallest number in the CSU system with campuses that are comparable in </w:t>
      </w:r>
      <w:proofErr w:type="gramStart"/>
      <w:r>
        <w:rPr>
          <w:rFonts w:ascii="Arial" w:hAnsi="Arial" w:cs="Arial"/>
          <w:sz w:val="22"/>
          <w:szCs w:val="22"/>
        </w:rPr>
        <w:t>FTES;</w:t>
      </w:r>
      <w:proofErr w:type="gramEnd"/>
    </w:p>
    <w:p w14:paraId="7E97C3C1" w14:textId="77777777" w:rsidR="00105970" w:rsidRPr="0054652A" w:rsidRDefault="00105970" w:rsidP="00432AD0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</w:p>
    <w:p w14:paraId="2EF9282B" w14:textId="3E02C417" w:rsidR="002E25AF" w:rsidRDefault="009453FF" w:rsidP="00B75B0F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  <w:r w:rsidRPr="0054652A">
        <w:rPr>
          <w:rFonts w:ascii="Arial" w:hAnsi="Arial" w:cs="Arial"/>
          <w:bCs/>
        </w:rPr>
        <w:t>Resolved</w:t>
      </w:r>
      <w:r w:rsidR="001D42E6" w:rsidRPr="0054652A">
        <w:rPr>
          <w:rFonts w:ascii="Arial" w:hAnsi="Arial" w:cs="Arial"/>
          <w:bCs/>
        </w:rPr>
        <w:t xml:space="preserve">, </w:t>
      </w:r>
      <w:r w:rsidR="00B75B0F">
        <w:rPr>
          <w:rFonts w:ascii="Arial" w:hAnsi="Arial" w:cs="Arial"/>
          <w:bCs/>
        </w:rPr>
        <w:tab/>
        <w:t>T</w:t>
      </w:r>
      <w:r w:rsidR="001D42E6" w:rsidRPr="0054652A">
        <w:rPr>
          <w:rFonts w:ascii="Arial" w:hAnsi="Arial" w:cs="Arial"/>
          <w:bCs/>
        </w:rPr>
        <w:t>hat</w:t>
      </w:r>
      <w:r w:rsidRPr="0054652A">
        <w:rPr>
          <w:rFonts w:ascii="Arial" w:hAnsi="Arial" w:cs="Arial"/>
          <w:bCs/>
        </w:rPr>
        <w:t xml:space="preserve"> the Academic Senate</w:t>
      </w:r>
      <w:r w:rsidR="002E25AF" w:rsidRPr="0054652A">
        <w:rPr>
          <w:rFonts w:ascii="Arial" w:hAnsi="Arial" w:cs="Arial"/>
          <w:bCs/>
        </w:rPr>
        <w:t xml:space="preserve"> </w:t>
      </w:r>
      <w:r w:rsidR="007107F1">
        <w:rPr>
          <w:rFonts w:ascii="Arial" w:hAnsi="Arial" w:cs="Arial"/>
          <w:bCs/>
        </w:rPr>
        <w:t>u</w:t>
      </w:r>
      <w:r w:rsidR="00CF34D1">
        <w:rPr>
          <w:rFonts w:ascii="Arial" w:hAnsi="Arial" w:cs="Arial"/>
          <w:bCs/>
        </w:rPr>
        <w:t xml:space="preserve">rges the Cal Poly Pomona administration to </w:t>
      </w:r>
      <w:r w:rsidR="00A41867">
        <w:rPr>
          <w:rFonts w:ascii="Arial" w:hAnsi="Arial" w:cs="Arial"/>
          <w:bCs/>
        </w:rPr>
        <w:t>a</w:t>
      </w:r>
      <w:r w:rsidR="00A41867" w:rsidRPr="0054652A">
        <w:rPr>
          <w:rFonts w:ascii="Arial" w:hAnsi="Arial" w:cs="Arial"/>
          <w:bCs/>
        </w:rPr>
        <w:t xml:space="preserve">dopt a campuswide </w:t>
      </w:r>
      <w:r w:rsidR="00A41867">
        <w:rPr>
          <w:rFonts w:ascii="Arial" w:hAnsi="Arial" w:cs="Arial"/>
          <w:bCs/>
        </w:rPr>
        <w:t xml:space="preserve">WTU allocation for </w:t>
      </w:r>
      <w:r w:rsidR="00A754D9" w:rsidRPr="0054652A">
        <w:rPr>
          <w:rFonts w:ascii="Arial" w:hAnsi="Arial" w:cs="Arial"/>
          <w:bCs/>
        </w:rPr>
        <w:t>lecture</w:t>
      </w:r>
      <w:r w:rsidR="00A41867">
        <w:rPr>
          <w:rFonts w:ascii="Arial" w:hAnsi="Arial" w:cs="Arial"/>
          <w:bCs/>
        </w:rPr>
        <w:t>rs in which lecturers have the option of being awarded 25% of their teaching load for</w:t>
      </w:r>
      <w:r w:rsidR="002E25AF" w:rsidRPr="0054652A">
        <w:rPr>
          <w:rFonts w:ascii="Arial" w:hAnsi="Arial" w:cs="Arial"/>
          <w:bCs/>
        </w:rPr>
        <w:t xml:space="preserve"> service, professional development, and/or research</w:t>
      </w:r>
      <w:r w:rsidR="00A41867">
        <w:rPr>
          <w:rFonts w:ascii="Arial" w:hAnsi="Arial" w:cs="Arial"/>
          <w:bCs/>
        </w:rPr>
        <w:t xml:space="preserve"> (not to exceed a total of 15 WTU),</w:t>
      </w:r>
    </w:p>
    <w:p w14:paraId="41CA00EB" w14:textId="77777777" w:rsidR="008271EA" w:rsidRPr="0054652A" w:rsidRDefault="008271EA" w:rsidP="00B75B0F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16525F0E" w14:textId="73451C9F" w:rsidR="00311FD8" w:rsidRDefault="007420BF" w:rsidP="00B75B0F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Resolved, </w:t>
      </w:r>
      <w:r w:rsidR="00B75B0F">
        <w:rPr>
          <w:rFonts w:ascii="Arial" w:hAnsi="Arial" w:cs="Arial"/>
          <w:bCs/>
        </w:rPr>
        <w:tab/>
      </w:r>
      <w:r w:rsidR="008271E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hat the Academic Senate u</w:t>
      </w:r>
      <w:r w:rsidR="00CF34D1">
        <w:rPr>
          <w:rFonts w:ascii="Arial" w:hAnsi="Arial" w:cs="Arial"/>
          <w:bCs/>
        </w:rPr>
        <w:t>rges the Cal Poly Pomona administration to a</w:t>
      </w:r>
      <w:r w:rsidR="00CF34D1" w:rsidRPr="0054652A">
        <w:rPr>
          <w:rFonts w:ascii="Arial" w:hAnsi="Arial" w:cs="Arial"/>
          <w:bCs/>
        </w:rPr>
        <w:t>dopt</w:t>
      </w:r>
      <w:r w:rsidR="002E25AF" w:rsidRPr="0054652A">
        <w:rPr>
          <w:rFonts w:ascii="Arial" w:hAnsi="Arial" w:cs="Arial"/>
          <w:bCs/>
        </w:rPr>
        <w:t xml:space="preserve"> a campuswide </w:t>
      </w:r>
      <w:r w:rsidR="002D39E2" w:rsidRPr="0054652A">
        <w:rPr>
          <w:rFonts w:ascii="Arial" w:hAnsi="Arial" w:cs="Arial"/>
          <w:bCs/>
        </w:rPr>
        <w:t>9</w:t>
      </w:r>
      <w:r w:rsidR="005D4DD5">
        <w:rPr>
          <w:rFonts w:ascii="Arial" w:hAnsi="Arial" w:cs="Arial"/>
          <w:bCs/>
        </w:rPr>
        <w:t xml:space="preserve"> </w:t>
      </w:r>
      <w:r w:rsidR="002D39E2" w:rsidRPr="0054652A">
        <w:rPr>
          <w:rFonts w:ascii="Arial" w:hAnsi="Arial" w:cs="Arial"/>
          <w:bCs/>
        </w:rPr>
        <w:t>WTU teaching load</w:t>
      </w:r>
      <w:r w:rsidR="002E25AF" w:rsidRPr="0054652A">
        <w:rPr>
          <w:rFonts w:ascii="Arial" w:hAnsi="Arial" w:cs="Arial"/>
          <w:bCs/>
        </w:rPr>
        <w:t xml:space="preserve"> / 3</w:t>
      </w:r>
      <w:r w:rsidR="00737B24">
        <w:rPr>
          <w:rFonts w:ascii="Arial" w:hAnsi="Arial" w:cs="Arial"/>
          <w:bCs/>
        </w:rPr>
        <w:t xml:space="preserve"> </w:t>
      </w:r>
      <w:r w:rsidR="002E25AF" w:rsidRPr="0054652A">
        <w:rPr>
          <w:rFonts w:ascii="Arial" w:hAnsi="Arial" w:cs="Arial"/>
          <w:bCs/>
        </w:rPr>
        <w:t>WTU service / 3</w:t>
      </w:r>
      <w:r w:rsidR="00737B24">
        <w:rPr>
          <w:rFonts w:ascii="Arial" w:hAnsi="Arial" w:cs="Arial"/>
          <w:bCs/>
        </w:rPr>
        <w:t xml:space="preserve"> </w:t>
      </w:r>
      <w:r w:rsidR="002E25AF" w:rsidRPr="0054652A">
        <w:rPr>
          <w:rFonts w:ascii="Arial" w:hAnsi="Arial" w:cs="Arial"/>
          <w:bCs/>
        </w:rPr>
        <w:t>WTU research</w:t>
      </w:r>
      <w:r w:rsidR="00A754D9" w:rsidRPr="0054652A">
        <w:rPr>
          <w:rFonts w:ascii="Arial" w:hAnsi="Arial" w:cs="Arial"/>
          <w:bCs/>
        </w:rPr>
        <w:t xml:space="preserve"> arrangement</w:t>
      </w:r>
      <w:r w:rsidR="00215354">
        <w:rPr>
          <w:rFonts w:ascii="Arial" w:hAnsi="Arial" w:cs="Arial"/>
          <w:bCs/>
        </w:rPr>
        <w:t xml:space="preserve"> for tenure line </w:t>
      </w:r>
      <w:r w:rsidR="00215354" w:rsidRPr="007405EA">
        <w:rPr>
          <w:rFonts w:ascii="Arial" w:hAnsi="Arial" w:cs="Arial"/>
          <w:bCs/>
        </w:rPr>
        <w:t>faculty that faculty have the option to select</w:t>
      </w:r>
      <w:r w:rsidR="00F439FF" w:rsidRPr="007405EA">
        <w:rPr>
          <w:rFonts w:ascii="Arial" w:hAnsi="Arial" w:cs="Arial"/>
          <w:bCs/>
        </w:rPr>
        <w:t>;</w:t>
      </w:r>
      <w:r w:rsidR="00F439FF">
        <w:rPr>
          <w:rFonts w:ascii="Arial" w:hAnsi="Arial" w:cs="Arial"/>
          <w:bCs/>
        </w:rPr>
        <w:t xml:space="preserve"> and be it also</w:t>
      </w:r>
      <w:r w:rsidR="00A41867">
        <w:rPr>
          <w:rFonts w:ascii="Arial" w:hAnsi="Arial" w:cs="Arial"/>
          <w:bCs/>
        </w:rPr>
        <w:t>,</w:t>
      </w:r>
    </w:p>
    <w:p w14:paraId="14EB17ED" w14:textId="1A01A2E9" w:rsidR="003365C2" w:rsidRDefault="003365C2" w:rsidP="00B75B0F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35B68062" w14:textId="36126FB8" w:rsidR="003365C2" w:rsidRPr="003365C2" w:rsidRDefault="003365C2" w:rsidP="003365C2">
      <w:pPr>
        <w:pStyle w:val="Default"/>
        <w:ind w:left="1440" w:hanging="1440"/>
        <w:rPr>
          <w:rFonts w:ascii="Arial" w:hAnsi="Arial" w:cs="Arial"/>
          <w:sz w:val="22"/>
          <w:szCs w:val="22"/>
        </w:rPr>
      </w:pPr>
      <w:r w:rsidRPr="003365C2">
        <w:rPr>
          <w:rFonts w:ascii="Arial" w:hAnsi="Arial" w:cs="Arial"/>
          <w:bCs/>
          <w:sz w:val="22"/>
          <w:szCs w:val="22"/>
        </w:rPr>
        <w:t xml:space="preserve">Resolved, </w:t>
      </w:r>
      <w:r w:rsidRPr="003365C2">
        <w:rPr>
          <w:rFonts w:ascii="Arial" w:hAnsi="Arial" w:cs="Arial"/>
          <w:bCs/>
          <w:sz w:val="22"/>
          <w:szCs w:val="22"/>
        </w:rPr>
        <w:tab/>
        <w:t>That the Academic Senate urges the Cal Poly Pomona administration to hire additional tenure-line counselor</w:t>
      </w:r>
      <w:r>
        <w:rPr>
          <w:rFonts w:ascii="Arial" w:hAnsi="Arial" w:cs="Arial"/>
          <w:bCs/>
          <w:sz w:val="22"/>
          <w:szCs w:val="22"/>
        </w:rPr>
        <w:t>s and librarians</w:t>
      </w:r>
      <w:r w:rsidR="0068071B">
        <w:rPr>
          <w:rFonts w:ascii="Arial" w:hAnsi="Arial" w:cs="Arial"/>
          <w:bCs/>
          <w:sz w:val="22"/>
          <w:szCs w:val="22"/>
        </w:rPr>
        <w:t xml:space="preserve"> to improve the counselor/librarian to student ratios</w:t>
      </w:r>
      <w:r>
        <w:rPr>
          <w:rFonts w:ascii="Arial" w:hAnsi="Arial" w:cs="Arial"/>
          <w:bCs/>
          <w:sz w:val="22"/>
          <w:szCs w:val="22"/>
        </w:rPr>
        <w:t>; and be it also,</w:t>
      </w:r>
      <w:r w:rsidRPr="003365C2">
        <w:rPr>
          <w:rFonts w:ascii="Arial" w:hAnsi="Arial" w:cs="Arial"/>
          <w:sz w:val="22"/>
          <w:szCs w:val="22"/>
        </w:rPr>
        <w:t xml:space="preserve"> </w:t>
      </w:r>
    </w:p>
    <w:p w14:paraId="4BD386E1" w14:textId="356811D5" w:rsidR="003365C2" w:rsidRPr="003365C2" w:rsidRDefault="003365C2" w:rsidP="00B75B0F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73E02FC4" w14:textId="69A7C46A" w:rsidR="00987CDB" w:rsidRDefault="00987CDB" w:rsidP="00150372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bCs/>
        </w:rPr>
      </w:pPr>
    </w:p>
    <w:p w14:paraId="744839CB" w14:textId="1F8F1F40" w:rsidR="00D00598" w:rsidRPr="0054652A" w:rsidRDefault="005D7D61" w:rsidP="00B75B0F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Resolved,</w:t>
      </w:r>
      <w:r w:rsidR="00311FD8" w:rsidRPr="0054652A">
        <w:rPr>
          <w:rFonts w:ascii="Arial" w:hAnsi="Arial" w:cs="Arial"/>
          <w:bCs/>
        </w:rPr>
        <w:t xml:space="preserve"> </w:t>
      </w:r>
      <w:r w:rsidR="00B75B0F">
        <w:rPr>
          <w:rFonts w:ascii="Arial" w:hAnsi="Arial" w:cs="Arial"/>
          <w:bCs/>
        </w:rPr>
        <w:tab/>
      </w:r>
      <w:r w:rsidR="00311FD8" w:rsidRPr="0054652A">
        <w:rPr>
          <w:rFonts w:ascii="Arial" w:hAnsi="Arial" w:cs="Arial"/>
          <w:bCs/>
        </w:rPr>
        <w:t xml:space="preserve">That this resolution be distributed to the President of Cal Poly Pomona, </w:t>
      </w:r>
      <w:r w:rsidR="00EE50E1" w:rsidRPr="0054652A">
        <w:rPr>
          <w:rFonts w:ascii="Arial" w:hAnsi="Arial" w:cs="Arial"/>
          <w:bCs/>
        </w:rPr>
        <w:t xml:space="preserve">the Provost of Cal Poly Pomona, </w:t>
      </w:r>
      <w:r w:rsidR="007930E3">
        <w:rPr>
          <w:rFonts w:ascii="Arial" w:hAnsi="Arial" w:cs="Arial"/>
          <w:bCs/>
        </w:rPr>
        <w:t>Vice Presidents</w:t>
      </w:r>
      <w:r w:rsidR="007930E3" w:rsidRPr="0054652A">
        <w:rPr>
          <w:rFonts w:ascii="Arial" w:hAnsi="Arial" w:cs="Arial"/>
          <w:bCs/>
        </w:rPr>
        <w:t xml:space="preserve"> </w:t>
      </w:r>
      <w:r w:rsidR="00EE50E1" w:rsidRPr="0054652A">
        <w:rPr>
          <w:rFonts w:ascii="Arial" w:hAnsi="Arial" w:cs="Arial"/>
          <w:bCs/>
        </w:rPr>
        <w:t xml:space="preserve">of Cal Poly Pomona, </w:t>
      </w:r>
      <w:r w:rsidR="007930E3">
        <w:rPr>
          <w:rFonts w:ascii="Arial" w:hAnsi="Arial" w:cs="Arial"/>
          <w:bCs/>
        </w:rPr>
        <w:t>Associate and Assistant Vice President</w:t>
      </w:r>
      <w:r w:rsidR="007930E3" w:rsidRPr="0054652A">
        <w:rPr>
          <w:rFonts w:ascii="Arial" w:hAnsi="Arial" w:cs="Arial"/>
          <w:bCs/>
        </w:rPr>
        <w:t xml:space="preserve">s </w:t>
      </w:r>
      <w:r w:rsidR="00EE50E1" w:rsidRPr="0054652A">
        <w:rPr>
          <w:rFonts w:ascii="Arial" w:hAnsi="Arial" w:cs="Arial"/>
          <w:bCs/>
        </w:rPr>
        <w:t xml:space="preserve">of Cal Poly Pomona, Deans of Cal Poly Pomona, Department Chairs of Cal Poly Pomona, Unit 3 </w:t>
      </w:r>
      <w:r w:rsidR="00641200" w:rsidRPr="0054652A">
        <w:rPr>
          <w:rFonts w:ascii="Arial" w:hAnsi="Arial" w:cs="Arial"/>
          <w:bCs/>
        </w:rPr>
        <w:t>Employees</w:t>
      </w:r>
      <w:r w:rsidR="00EE50E1" w:rsidRPr="0054652A">
        <w:rPr>
          <w:rFonts w:ascii="Arial" w:hAnsi="Arial" w:cs="Arial"/>
          <w:bCs/>
        </w:rPr>
        <w:t xml:space="preserve"> of Cal Poly Pomona, Cal Poly Pomona Poly Post, </w:t>
      </w:r>
      <w:r w:rsidR="00311FD8" w:rsidRPr="0054652A">
        <w:rPr>
          <w:rFonts w:ascii="Arial" w:hAnsi="Arial" w:cs="Arial"/>
          <w:bCs/>
        </w:rPr>
        <w:t xml:space="preserve">CSU Chancellor’s Office (CO), CSU Board of Trustees, Academic Senate of the CSU (ASCSU), CSU Campus Senate Chairs, California Faculty Association (CFA) Statewide President, </w:t>
      </w:r>
      <w:r w:rsidR="00EE50E1" w:rsidRPr="0054652A">
        <w:rPr>
          <w:rFonts w:ascii="Arial" w:hAnsi="Arial" w:cs="Arial"/>
          <w:bCs/>
        </w:rPr>
        <w:t xml:space="preserve">CFA Chapter Presidents, </w:t>
      </w:r>
      <w:r w:rsidR="00311FD8" w:rsidRPr="0054652A">
        <w:rPr>
          <w:rFonts w:ascii="Arial" w:hAnsi="Arial" w:cs="Arial"/>
          <w:bCs/>
        </w:rPr>
        <w:t>CFA Cal Poly Pomona Chapter President</w:t>
      </w:r>
      <w:r w:rsidR="00EE50E1" w:rsidRPr="0054652A">
        <w:rPr>
          <w:rFonts w:ascii="Arial" w:hAnsi="Arial" w:cs="Arial"/>
          <w:bCs/>
        </w:rPr>
        <w:t xml:space="preserve">, </w:t>
      </w:r>
      <w:r w:rsidR="00311FD8" w:rsidRPr="0054652A">
        <w:rPr>
          <w:rFonts w:ascii="Arial" w:hAnsi="Arial" w:cs="Arial"/>
          <w:bCs/>
        </w:rPr>
        <w:t>California State Student Association, ASI President of Cal Poly Pomona, and California State legislators</w:t>
      </w:r>
      <w:r w:rsidR="00EE50E1" w:rsidRPr="0054652A">
        <w:rPr>
          <w:rFonts w:ascii="Arial" w:hAnsi="Arial" w:cs="Arial"/>
          <w:bCs/>
        </w:rPr>
        <w:t xml:space="preserve">. </w:t>
      </w:r>
    </w:p>
    <w:p w14:paraId="388E9A2C" w14:textId="601A9ABF" w:rsidR="00E32F74" w:rsidRDefault="00902896" w:rsidP="00680983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bCs/>
        </w:rPr>
      </w:pPr>
      <w:r w:rsidRPr="0054652A">
        <w:rPr>
          <w:rFonts w:ascii="Arial" w:hAnsi="Arial" w:cs="Arial"/>
          <w:bCs/>
        </w:rPr>
        <w:tab/>
      </w:r>
    </w:p>
    <w:p w14:paraId="68CB3169" w14:textId="56337112" w:rsidR="00E32F74" w:rsidRDefault="00E32F74" w:rsidP="00805F7D">
      <w:pPr>
        <w:spacing w:after="0" w:line="240" w:lineRule="auto"/>
        <w:rPr>
          <w:rFonts w:ascii="Arial" w:hAnsi="Arial" w:cs="Arial"/>
          <w:bCs/>
        </w:rPr>
      </w:pPr>
    </w:p>
    <w:p w14:paraId="3BA18D72" w14:textId="19372804" w:rsidR="00331B17" w:rsidRPr="00331B17" w:rsidRDefault="00680983" w:rsidP="00331B17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  <w:bookmarkStart w:id="1" w:name="_Hlk116640097"/>
      <w:r w:rsidRPr="00680983">
        <w:rPr>
          <w:rFonts w:ascii="Arial" w:eastAsia="Calibri" w:hAnsi="Arial" w:cs="Arial"/>
          <w:sz w:val="21"/>
          <w:szCs w:val="21"/>
          <w:highlight w:val="yellow"/>
        </w:rPr>
        <w:t>Unanimously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331B17" w:rsidRPr="00331B17">
        <w:rPr>
          <w:rFonts w:ascii="Arial" w:eastAsia="Calibri" w:hAnsi="Arial" w:cs="Arial"/>
          <w:sz w:val="21"/>
          <w:szCs w:val="21"/>
        </w:rPr>
        <w:t xml:space="preserve">Adopted by the Academic Senate of California State Polytechnic </w:t>
      </w:r>
    </w:p>
    <w:p w14:paraId="3FBC1E5D" w14:textId="55A0295F" w:rsidR="00331B17" w:rsidRPr="00331B17" w:rsidRDefault="00331B17" w:rsidP="00331B17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  <w:r w:rsidRPr="00331B17">
        <w:rPr>
          <w:rFonts w:ascii="Arial" w:eastAsia="Calibri" w:hAnsi="Arial" w:cs="Arial"/>
          <w:sz w:val="21"/>
          <w:szCs w:val="21"/>
        </w:rPr>
        <w:t xml:space="preserve">University, Pomona, on Wednesday, </w:t>
      </w:r>
      <w:r w:rsidR="00680983">
        <w:rPr>
          <w:rFonts w:ascii="Arial" w:eastAsia="Calibri" w:hAnsi="Arial" w:cs="Arial"/>
          <w:sz w:val="21"/>
          <w:szCs w:val="21"/>
        </w:rPr>
        <w:t>April 5, 2023</w:t>
      </w:r>
    </w:p>
    <w:p w14:paraId="2EE5B3D2" w14:textId="65C5DBDE" w:rsidR="00331B17" w:rsidRPr="00331B17" w:rsidRDefault="00331B17" w:rsidP="00331B17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</w:p>
    <w:p w14:paraId="3D30578E" w14:textId="77777777" w:rsidR="00331B17" w:rsidRPr="00331B17" w:rsidRDefault="00331B17" w:rsidP="00331B17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</w:p>
    <w:p w14:paraId="029BBB61" w14:textId="77777777" w:rsidR="00331B17" w:rsidRPr="00331B17" w:rsidRDefault="00331B17" w:rsidP="00331B17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  <w:r w:rsidRPr="00331B17">
        <w:rPr>
          <w:rFonts w:ascii="Arial" w:eastAsia="Calibri" w:hAnsi="Arial" w:cs="Arial"/>
          <w:sz w:val="21"/>
          <w:szCs w:val="21"/>
        </w:rPr>
        <w:t>_______________________________________________________</w:t>
      </w:r>
    </w:p>
    <w:p w14:paraId="2B703515" w14:textId="77777777" w:rsidR="00331B17" w:rsidRPr="00331B17" w:rsidRDefault="00331B17" w:rsidP="00331B17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  <w:r w:rsidRPr="00331B17">
        <w:rPr>
          <w:rFonts w:ascii="Arial" w:eastAsia="Calibri" w:hAnsi="Arial" w:cs="Arial"/>
          <w:sz w:val="21"/>
          <w:szCs w:val="21"/>
        </w:rPr>
        <w:t>Nicholas Von Glahn, Chair</w:t>
      </w:r>
    </w:p>
    <w:p w14:paraId="3FA7A185" w14:textId="3B59C2FA" w:rsidR="00D9612B" w:rsidRPr="00331B17" w:rsidRDefault="00331B17" w:rsidP="00D9612B">
      <w:pPr>
        <w:tabs>
          <w:tab w:val="left" w:pos="720"/>
        </w:tabs>
        <w:spacing w:after="0" w:line="240" w:lineRule="auto"/>
        <w:ind w:firstLine="6480"/>
        <w:rPr>
          <w:rFonts w:ascii="Arial" w:eastAsia="Calibri" w:hAnsi="Arial" w:cs="Arial"/>
          <w:sz w:val="21"/>
          <w:szCs w:val="21"/>
        </w:rPr>
      </w:pPr>
      <w:r w:rsidRPr="00331B17">
        <w:rPr>
          <w:rFonts w:ascii="Arial" w:eastAsia="Calibri" w:hAnsi="Arial" w:cs="Arial"/>
          <w:sz w:val="21"/>
          <w:szCs w:val="21"/>
        </w:rPr>
        <w:t>Academic Senate</w:t>
      </w:r>
      <w:bookmarkEnd w:id="1"/>
    </w:p>
    <w:p w14:paraId="0E8596E9" w14:textId="77777777" w:rsidR="00E32F74" w:rsidRPr="0054652A" w:rsidRDefault="00E32F74" w:rsidP="00805F7D">
      <w:pPr>
        <w:spacing w:after="0" w:line="240" w:lineRule="auto"/>
        <w:rPr>
          <w:rFonts w:ascii="Arial" w:hAnsi="Arial" w:cs="Arial"/>
          <w:bCs/>
        </w:rPr>
      </w:pPr>
    </w:p>
    <w:sectPr w:rsidR="00E32F74" w:rsidRPr="0054652A" w:rsidSect="00331B17">
      <w:endnotePr>
        <w:numFmt w:val="decimal"/>
      </w:endnotePr>
      <w:type w:val="continuous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5FFC" w14:textId="77777777" w:rsidR="009F352A" w:rsidRDefault="009F352A" w:rsidP="008F741E">
      <w:pPr>
        <w:spacing w:after="0" w:line="240" w:lineRule="auto"/>
      </w:pPr>
      <w:r>
        <w:separator/>
      </w:r>
    </w:p>
  </w:endnote>
  <w:endnote w:type="continuationSeparator" w:id="0">
    <w:p w14:paraId="3F60FD08" w14:textId="77777777" w:rsidR="009F352A" w:rsidRDefault="009F352A" w:rsidP="008F741E">
      <w:pPr>
        <w:spacing w:after="0" w:line="240" w:lineRule="auto"/>
      </w:pPr>
      <w:r>
        <w:continuationSeparator/>
      </w:r>
    </w:p>
  </w:endnote>
  <w:endnote w:type="continuationNotice" w:id="1">
    <w:p w14:paraId="2703E62A" w14:textId="77777777" w:rsidR="009F352A" w:rsidRDefault="009F352A">
      <w:pPr>
        <w:spacing w:after="0" w:line="240" w:lineRule="auto"/>
      </w:pPr>
    </w:p>
  </w:endnote>
  <w:endnote w:id="2">
    <w:p w14:paraId="4874D922" w14:textId="68A84AA6" w:rsidR="00FD698A" w:rsidRPr="00D9612B" w:rsidRDefault="00FD698A" w:rsidP="00F22D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612B">
        <w:rPr>
          <w:rFonts w:ascii="Arial" w:hAnsi="Arial" w:cs="Arial"/>
          <w:sz w:val="18"/>
          <w:szCs w:val="18"/>
        </w:rPr>
        <w:t>References</w:t>
      </w:r>
    </w:p>
    <w:p w14:paraId="2D34936D" w14:textId="7E6E942F" w:rsidR="00057540" w:rsidRPr="00D9612B" w:rsidRDefault="00A47B3E" w:rsidP="00CD444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612B">
        <w:rPr>
          <w:rStyle w:val="EndnoteReference"/>
          <w:rFonts w:ascii="Arial" w:hAnsi="Arial" w:cs="Arial"/>
          <w:sz w:val="18"/>
          <w:szCs w:val="18"/>
        </w:rPr>
        <w:endnoteRef/>
      </w:r>
      <w:r w:rsidR="00057540" w:rsidRPr="00D9612B">
        <w:rPr>
          <w:rFonts w:ascii="Arial" w:hAnsi="Arial" w:cs="Arial"/>
          <w:sz w:val="18"/>
          <w:szCs w:val="18"/>
        </w:rPr>
        <w:t xml:space="preserve"> </w:t>
      </w:r>
      <w:r w:rsidR="00F22DDE" w:rsidRPr="00D9612B">
        <w:rPr>
          <w:rFonts w:ascii="Arial" w:hAnsi="Arial" w:cs="Arial"/>
          <w:bCs/>
          <w:sz w:val="18"/>
          <w:szCs w:val="18"/>
        </w:rPr>
        <w:t xml:space="preserve">2021/22 Summary of Campus Capacity: </w:t>
      </w:r>
      <w:hyperlink r:id="rId1" w:history="1">
        <w:r w:rsidR="00F22DDE" w:rsidRPr="00D9612B">
          <w:rPr>
            <w:rStyle w:val="Hyperlink"/>
            <w:rFonts w:ascii="Arial" w:hAnsi="Arial" w:cs="Arial"/>
            <w:bCs/>
            <w:sz w:val="18"/>
            <w:szCs w:val="18"/>
          </w:rPr>
          <w:t>https://www.calstate.edu/impact-of-the-csu/government/Advocacy-and-State-Relations/legislativereports1/csu-report-utilization-of-facilities-instructional-and-faculty-office-space-summary-of-campus-capacity.pdf</w:t>
        </w:r>
      </w:hyperlink>
    </w:p>
  </w:endnote>
  <w:endnote w:id="3">
    <w:p w14:paraId="649CA253" w14:textId="5A24B85C" w:rsidR="00A47B3E" w:rsidRPr="00D9612B" w:rsidRDefault="00A47B3E" w:rsidP="001E7A0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612B">
        <w:rPr>
          <w:rStyle w:val="EndnoteReference"/>
          <w:rFonts w:ascii="Arial" w:hAnsi="Arial" w:cs="Arial"/>
          <w:sz w:val="18"/>
          <w:szCs w:val="18"/>
        </w:rPr>
        <w:endnoteRef/>
      </w:r>
      <w:r w:rsidRPr="00D9612B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2F20A9" w:rsidRPr="00D9612B">
          <w:rPr>
            <w:rStyle w:val="Hyperlink"/>
            <w:rFonts w:ascii="Arial" w:hAnsi="Arial" w:cs="Arial"/>
            <w:sz w:val="18"/>
            <w:szCs w:val="18"/>
          </w:rPr>
          <w:t>SS-S11-6, Sense of the Senate Resolution, Support for Research, Scholarship, and Creative Activity, SJSU, 2002</w:t>
        </w:r>
      </w:hyperlink>
      <w:r w:rsidR="002F20A9" w:rsidRPr="00D9612B">
        <w:rPr>
          <w:rFonts w:ascii="Arial" w:hAnsi="Arial" w:cs="Arial"/>
          <w:sz w:val="18"/>
          <w:szCs w:val="18"/>
        </w:rPr>
        <w:t xml:space="preserve">; </w:t>
      </w:r>
      <w:hyperlink r:id="rId3" w:history="1">
        <w:r w:rsidR="002F20A9" w:rsidRPr="00D9612B">
          <w:rPr>
            <w:rStyle w:val="Hyperlink"/>
            <w:rFonts w:ascii="Arial" w:hAnsi="Arial" w:cs="Arial"/>
            <w:sz w:val="18"/>
            <w:szCs w:val="18"/>
          </w:rPr>
          <w:t>SS-S02-6, Sense Of The Senate Resolution Endorsing The Attached Report:  Alleviating Faculty Workload At SJSU, 2011</w:t>
        </w:r>
      </w:hyperlink>
    </w:p>
  </w:endnote>
  <w:endnote w:id="4">
    <w:p w14:paraId="46594863" w14:textId="20499496" w:rsidR="00227C5A" w:rsidRPr="00680983" w:rsidRDefault="00A47B3E">
      <w:pPr>
        <w:pStyle w:val="EndnoteText"/>
        <w:rPr>
          <w:rFonts w:ascii="Arial" w:hAnsi="Arial" w:cs="Arial"/>
          <w:sz w:val="18"/>
          <w:szCs w:val="18"/>
        </w:rPr>
      </w:pPr>
      <w:r w:rsidRPr="00D9612B">
        <w:rPr>
          <w:rStyle w:val="EndnoteReference"/>
          <w:rFonts w:ascii="Arial" w:hAnsi="Arial" w:cs="Arial"/>
          <w:sz w:val="18"/>
          <w:szCs w:val="18"/>
        </w:rPr>
        <w:endnoteRef/>
      </w:r>
      <w:r w:rsidRPr="00D9612B">
        <w:rPr>
          <w:rFonts w:ascii="Arial" w:hAnsi="Arial" w:cs="Arial"/>
          <w:sz w:val="18"/>
          <w:szCs w:val="18"/>
        </w:rPr>
        <w:t xml:space="preserve"> </w:t>
      </w:r>
      <w:hyperlink r:id="rId4" w:anchor="SemesterConversion" w:history="1">
        <w:r w:rsidR="00B56DC9" w:rsidRPr="00D9612B">
          <w:rPr>
            <w:rStyle w:val="Hyperlink"/>
            <w:rFonts w:ascii="Arial" w:hAnsi="Arial" w:cs="Arial"/>
            <w:sz w:val="18"/>
            <w:szCs w:val="18"/>
          </w:rPr>
          <w:t>https://www.calfac.org/cfa-san-luis-obispo/#SemesterConversion</w:t>
        </w:r>
      </w:hyperlink>
    </w:p>
    <w:p w14:paraId="4E8F05D2" w14:textId="77777777" w:rsidR="0099383C" w:rsidRPr="00256C37" w:rsidRDefault="0099383C">
      <w:pPr>
        <w:pStyle w:val="EndnoteText"/>
        <w:rPr>
          <w:rFonts w:ascii="Arial" w:hAnsi="Arial" w:cs="Arial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F527" w14:textId="77777777" w:rsidR="009F352A" w:rsidRDefault="009F352A" w:rsidP="008F741E">
      <w:pPr>
        <w:spacing w:after="0" w:line="240" w:lineRule="auto"/>
      </w:pPr>
      <w:r>
        <w:separator/>
      </w:r>
    </w:p>
  </w:footnote>
  <w:footnote w:type="continuationSeparator" w:id="0">
    <w:p w14:paraId="64BCA2CF" w14:textId="77777777" w:rsidR="009F352A" w:rsidRDefault="009F352A" w:rsidP="008F741E">
      <w:pPr>
        <w:spacing w:after="0" w:line="240" w:lineRule="auto"/>
      </w:pPr>
      <w:r>
        <w:continuationSeparator/>
      </w:r>
    </w:p>
  </w:footnote>
  <w:footnote w:type="continuationNotice" w:id="1">
    <w:p w14:paraId="3BA18EB2" w14:textId="77777777" w:rsidR="009F352A" w:rsidRDefault="009F352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01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0F68EC"/>
    <w:multiLevelType w:val="hybridMultilevel"/>
    <w:tmpl w:val="D4545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8C1C6E"/>
    <w:multiLevelType w:val="hybridMultilevel"/>
    <w:tmpl w:val="A91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F012F"/>
    <w:multiLevelType w:val="hybridMultilevel"/>
    <w:tmpl w:val="4C64F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39553984">
    <w:abstractNumId w:val="2"/>
  </w:num>
  <w:num w:numId="2" w16cid:durableId="43872846">
    <w:abstractNumId w:val="3"/>
  </w:num>
  <w:num w:numId="3" w16cid:durableId="72702102">
    <w:abstractNumId w:val="1"/>
  </w:num>
  <w:num w:numId="4" w16cid:durableId="68787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9D"/>
    <w:rsid w:val="00027718"/>
    <w:rsid w:val="000345A6"/>
    <w:rsid w:val="00040F61"/>
    <w:rsid w:val="00050712"/>
    <w:rsid w:val="000564AF"/>
    <w:rsid w:val="00057540"/>
    <w:rsid w:val="000636C5"/>
    <w:rsid w:val="00074062"/>
    <w:rsid w:val="00074D6B"/>
    <w:rsid w:val="000809CE"/>
    <w:rsid w:val="000B698C"/>
    <w:rsid w:val="000D0B8E"/>
    <w:rsid w:val="000D6FAC"/>
    <w:rsid w:val="000E06FE"/>
    <w:rsid w:val="000F0DBA"/>
    <w:rsid w:val="000F237D"/>
    <w:rsid w:val="00104893"/>
    <w:rsid w:val="00105970"/>
    <w:rsid w:val="00111284"/>
    <w:rsid w:val="00130FC8"/>
    <w:rsid w:val="00150372"/>
    <w:rsid w:val="00153BA4"/>
    <w:rsid w:val="001569B7"/>
    <w:rsid w:val="00184980"/>
    <w:rsid w:val="00196DE9"/>
    <w:rsid w:val="001C35D3"/>
    <w:rsid w:val="001C6927"/>
    <w:rsid w:val="001C7C4A"/>
    <w:rsid w:val="001D42E6"/>
    <w:rsid w:val="001D6B48"/>
    <w:rsid w:val="001E1B67"/>
    <w:rsid w:val="001E1D62"/>
    <w:rsid w:val="001E7A0D"/>
    <w:rsid w:val="001F36FB"/>
    <w:rsid w:val="00200449"/>
    <w:rsid w:val="00215354"/>
    <w:rsid w:val="00225D25"/>
    <w:rsid w:val="00227C5A"/>
    <w:rsid w:val="00233CFE"/>
    <w:rsid w:val="00234B2D"/>
    <w:rsid w:val="00244809"/>
    <w:rsid w:val="002554FA"/>
    <w:rsid w:val="00256C37"/>
    <w:rsid w:val="00265209"/>
    <w:rsid w:val="00270FF3"/>
    <w:rsid w:val="002720FD"/>
    <w:rsid w:val="00276F10"/>
    <w:rsid w:val="00296FCF"/>
    <w:rsid w:val="002A0901"/>
    <w:rsid w:val="002B350D"/>
    <w:rsid w:val="002B6FF2"/>
    <w:rsid w:val="002D39E2"/>
    <w:rsid w:val="002D3C0F"/>
    <w:rsid w:val="002D6070"/>
    <w:rsid w:val="002D70E4"/>
    <w:rsid w:val="002E25AF"/>
    <w:rsid w:val="002E4907"/>
    <w:rsid w:val="002E7142"/>
    <w:rsid w:val="002E7412"/>
    <w:rsid w:val="002F20A9"/>
    <w:rsid w:val="002F3FB4"/>
    <w:rsid w:val="003016DA"/>
    <w:rsid w:val="00303615"/>
    <w:rsid w:val="00311FD8"/>
    <w:rsid w:val="00331B17"/>
    <w:rsid w:val="00333827"/>
    <w:rsid w:val="00333FBC"/>
    <w:rsid w:val="003365C2"/>
    <w:rsid w:val="003422D4"/>
    <w:rsid w:val="00342C7C"/>
    <w:rsid w:val="003462F7"/>
    <w:rsid w:val="00360445"/>
    <w:rsid w:val="00386E49"/>
    <w:rsid w:val="00391DF5"/>
    <w:rsid w:val="00396002"/>
    <w:rsid w:val="003B665C"/>
    <w:rsid w:val="003C3A09"/>
    <w:rsid w:val="003C5BC1"/>
    <w:rsid w:val="003D4DE4"/>
    <w:rsid w:val="003F0607"/>
    <w:rsid w:val="003F6C16"/>
    <w:rsid w:val="003F7164"/>
    <w:rsid w:val="00404CDB"/>
    <w:rsid w:val="0040599C"/>
    <w:rsid w:val="00416C95"/>
    <w:rsid w:val="00432AD0"/>
    <w:rsid w:val="00433FDA"/>
    <w:rsid w:val="00444E4C"/>
    <w:rsid w:val="004468F9"/>
    <w:rsid w:val="00491E68"/>
    <w:rsid w:val="004A19D6"/>
    <w:rsid w:val="004A3CB7"/>
    <w:rsid w:val="004B31C4"/>
    <w:rsid w:val="004B5588"/>
    <w:rsid w:val="004C1C0C"/>
    <w:rsid w:val="004C47AC"/>
    <w:rsid w:val="004C6626"/>
    <w:rsid w:val="004C6724"/>
    <w:rsid w:val="004F16B1"/>
    <w:rsid w:val="005177CA"/>
    <w:rsid w:val="00525E74"/>
    <w:rsid w:val="005310E9"/>
    <w:rsid w:val="005439BA"/>
    <w:rsid w:val="0054652A"/>
    <w:rsid w:val="0054719D"/>
    <w:rsid w:val="005520AD"/>
    <w:rsid w:val="00571600"/>
    <w:rsid w:val="0057207E"/>
    <w:rsid w:val="005737D3"/>
    <w:rsid w:val="005909D1"/>
    <w:rsid w:val="00591315"/>
    <w:rsid w:val="00591D4B"/>
    <w:rsid w:val="00596D37"/>
    <w:rsid w:val="005979BA"/>
    <w:rsid w:val="005A5442"/>
    <w:rsid w:val="005B0980"/>
    <w:rsid w:val="005B1DA9"/>
    <w:rsid w:val="005B2657"/>
    <w:rsid w:val="005C4A40"/>
    <w:rsid w:val="005D4DD5"/>
    <w:rsid w:val="005D7D61"/>
    <w:rsid w:val="005E5DCF"/>
    <w:rsid w:val="005F3266"/>
    <w:rsid w:val="00601E7A"/>
    <w:rsid w:val="00602EB8"/>
    <w:rsid w:val="00602FA8"/>
    <w:rsid w:val="006032B4"/>
    <w:rsid w:val="006057ED"/>
    <w:rsid w:val="00605F7A"/>
    <w:rsid w:val="00621852"/>
    <w:rsid w:val="0062665E"/>
    <w:rsid w:val="00641200"/>
    <w:rsid w:val="00646F61"/>
    <w:rsid w:val="0064716A"/>
    <w:rsid w:val="006651B4"/>
    <w:rsid w:val="00673613"/>
    <w:rsid w:val="00674D94"/>
    <w:rsid w:val="0067577D"/>
    <w:rsid w:val="00675FB4"/>
    <w:rsid w:val="0068071B"/>
    <w:rsid w:val="00680983"/>
    <w:rsid w:val="00686F12"/>
    <w:rsid w:val="00687E3B"/>
    <w:rsid w:val="0069684C"/>
    <w:rsid w:val="006B46FB"/>
    <w:rsid w:val="006B7420"/>
    <w:rsid w:val="006D40C9"/>
    <w:rsid w:val="006E31FE"/>
    <w:rsid w:val="006F00FD"/>
    <w:rsid w:val="006F0A56"/>
    <w:rsid w:val="007107F1"/>
    <w:rsid w:val="0071163A"/>
    <w:rsid w:val="00716A03"/>
    <w:rsid w:val="007219F3"/>
    <w:rsid w:val="007243EB"/>
    <w:rsid w:val="00737B24"/>
    <w:rsid w:val="007405EA"/>
    <w:rsid w:val="007417D8"/>
    <w:rsid w:val="007420BF"/>
    <w:rsid w:val="00753F1A"/>
    <w:rsid w:val="00756833"/>
    <w:rsid w:val="007578DF"/>
    <w:rsid w:val="00764224"/>
    <w:rsid w:val="00776C8F"/>
    <w:rsid w:val="00782E50"/>
    <w:rsid w:val="007843A3"/>
    <w:rsid w:val="007927AD"/>
    <w:rsid w:val="007930E3"/>
    <w:rsid w:val="00793C92"/>
    <w:rsid w:val="007A07F1"/>
    <w:rsid w:val="007A1C36"/>
    <w:rsid w:val="007A44BE"/>
    <w:rsid w:val="007B136D"/>
    <w:rsid w:val="007B1E07"/>
    <w:rsid w:val="007B74BF"/>
    <w:rsid w:val="007F1973"/>
    <w:rsid w:val="007F2835"/>
    <w:rsid w:val="008032F9"/>
    <w:rsid w:val="00805F7D"/>
    <w:rsid w:val="008271EA"/>
    <w:rsid w:val="0083639A"/>
    <w:rsid w:val="00837FB1"/>
    <w:rsid w:val="00853399"/>
    <w:rsid w:val="00857498"/>
    <w:rsid w:val="008612A6"/>
    <w:rsid w:val="00866227"/>
    <w:rsid w:val="0086788F"/>
    <w:rsid w:val="008730E7"/>
    <w:rsid w:val="00874131"/>
    <w:rsid w:val="00880471"/>
    <w:rsid w:val="00897697"/>
    <w:rsid w:val="008A218C"/>
    <w:rsid w:val="008B269A"/>
    <w:rsid w:val="008C118A"/>
    <w:rsid w:val="008C3899"/>
    <w:rsid w:val="008E24F8"/>
    <w:rsid w:val="008E7005"/>
    <w:rsid w:val="008F273E"/>
    <w:rsid w:val="008F741E"/>
    <w:rsid w:val="008F7D57"/>
    <w:rsid w:val="00902896"/>
    <w:rsid w:val="00904859"/>
    <w:rsid w:val="00912B17"/>
    <w:rsid w:val="009160CE"/>
    <w:rsid w:val="00916853"/>
    <w:rsid w:val="00937F30"/>
    <w:rsid w:val="00941196"/>
    <w:rsid w:val="00944238"/>
    <w:rsid w:val="0094466C"/>
    <w:rsid w:val="009453FF"/>
    <w:rsid w:val="00963702"/>
    <w:rsid w:val="00974E84"/>
    <w:rsid w:val="0098327F"/>
    <w:rsid w:val="00987CDB"/>
    <w:rsid w:val="00987DD2"/>
    <w:rsid w:val="00987F1B"/>
    <w:rsid w:val="00990E1A"/>
    <w:rsid w:val="0099383C"/>
    <w:rsid w:val="009942AC"/>
    <w:rsid w:val="009A5203"/>
    <w:rsid w:val="009C728F"/>
    <w:rsid w:val="009D5317"/>
    <w:rsid w:val="009E39E3"/>
    <w:rsid w:val="009E71B8"/>
    <w:rsid w:val="009F10FA"/>
    <w:rsid w:val="009F352A"/>
    <w:rsid w:val="009F43E7"/>
    <w:rsid w:val="00A02010"/>
    <w:rsid w:val="00A05C2E"/>
    <w:rsid w:val="00A257A4"/>
    <w:rsid w:val="00A26C1F"/>
    <w:rsid w:val="00A35DD8"/>
    <w:rsid w:val="00A41867"/>
    <w:rsid w:val="00A4310D"/>
    <w:rsid w:val="00A4488A"/>
    <w:rsid w:val="00A47B3E"/>
    <w:rsid w:val="00A51F4E"/>
    <w:rsid w:val="00A60359"/>
    <w:rsid w:val="00A754D9"/>
    <w:rsid w:val="00A80DA9"/>
    <w:rsid w:val="00A8341A"/>
    <w:rsid w:val="00A9487C"/>
    <w:rsid w:val="00A97C54"/>
    <w:rsid w:val="00AA31F8"/>
    <w:rsid w:val="00AB2D5E"/>
    <w:rsid w:val="00AC4B88"/>
    <w:rsid w:val="00AD14F4"/>
    <w:rsid w:val="00AD17D0"/>
    <w:rsid w:val="00AD1A4D"/>
    <w:rsid w:val="00AD7212"/>
    <w:rsid w:val="00AE3E9D"/>
    <w:rsid w:val="00AE4FBD"/>
    <w:rsid w:val="00B259E6"/>
    <w:rsid w:val="00B34FBA"/>
    <w:rsid w:val="00B40B97"/>
    <w:rsid w:val="00B46A70"/>
    <w:rsid w:val="00B47F72"/>
    <w:rsid w:val="00B56DC9"/>
    <w:rsid w:val="00B57C44"/>
    <w:rsid w:val="00B60C38"/>
    <w:rsid w:val="00B65D9D"/>
    <w:rsid w:val="00B71F3A"/>
    <w:rsid w:val="00B74EC0"/>
    <w:rsid w:val="00B75B0F"/>
    <w:rsid w:val="00B8270A"/>
    <w:rsid w:val="00B87896"/>
    <w:rsid w:val="00B9790E"/>
    <w:rsid w:val="00BA5127"/>
    <w:rsid w:val="00BB2F95"/>
    <w:rsid w:val="00BF3470"/>
    <w:rsid w:val="00C10C5A"/>
    <w:rsid w:val="00C10D1E"/>
    <w:rsid w:val="00C17F32"/>
    <w:rsid w:val="00C2510A"/>
    <w:rsid w:val="00C270F1"/>
    <w:rsid w:val="00C44603"/>
    <w:rsid w:val="00C47BEA"/>
    <w:rsid w:val="00C506C9"/>
    <w:rsid w:val="00C56419"/>
    <w:rsid w:val="00C703D7"/>
    <w:rsid w:val="00C80732"/>
    <w:rsid w:val="00C826F0"/>
    <w:rsid w:val="00CA6978"/>
    <w:rsid w:val="00CC677D"/>
    <w:rsid w:val="00CD444E"/>
    <w:rsid w:val="00CE39F0"/>
    <w:rsid w:val="00CF0A5A"/>
    <w:rsid w:val="00CF1034"/>
    <w:rsid w:val="00CF34D1"/>
    <w:rsid w:val="00CF4346"/>
    <w:rsid w:val="00D00598"/>
    <w:rsid w:val="00D224EC"/>
    <w:rsid w:val="00D356B7"/>
    <w:rsid w:val="00D35E03"/>
    <w:rsid w:val="00D452D6"/>
    <w:rsid w:val="00D57E66"/>
    <w:rsid w:val="00D66EC3"/>
    <w:rsid w:val="00D72D58"/>
    <w:rsid w:val="00D9612B"/>
    <w:rsid w:val="00DB0C79"/>
    <w:rsid w:val="00DC44E3"/>
    <w:rsid w:val="00DC5917"/>
    <w:rsid w:val="00DF1FBD"/>
    <w:rsid w:val="00E001A7"/>
    <w:rsid w:val="00E13C15"/>
    <w:rsid w:val="00E32F74"/>
    <w:rsid w:val="00E37162"/>
    <w:rsid w:val="00E37B28"/>
    <w:rsid w:val="00E41411"/>
    <w:rsid w:val="00E42B8A"/>
    <w:rsid w:val="00E42E66"/>
    <w:rsid w:val="00E5386B"/>
    <w:rsid w:val="00E6260F"/>
    <w:rsid w:val="00E62A14"/>
    <w:rsid w:val="00E650EC"/>
    <w:rsid w:val="00E82944"/>
    <w:rsid w:val="00EA0A8D"/>
    <w:rsid w:val="00EA55CF"/>
    <w:rsid w:val="00EB3C5D"/>
    <w:rsid w:val="00EC1578"/>
    <w:rsid w:val="00ED0338"/>
    <w:rsid w:val="00ED3649"/>
    <w:rsid w:val="00EE195D"/>
    <w:rsid w:val="00EE50E1"/>
    <w:rsid w:val="00EF62E8"/>
    <w:rsid w:val="00F05E9C"/>
    <w:rsid w:val="00F20909"/>
    <w:rsid w:val="00F22DDE"/>
    <w:rsid w:val="00F4022B"/>
    <w:rsid w:val="00F41110"/>
    <w:rsid w:val="00F439FF"/>
    <w:rsid w:val="00F45C7D"/>
    <w:rsid w:val="00F51649"/>
    <w:rsid w:val="00F6316C"/>
    <w:rsid w:val="00F71238"/>
    <w:rsid w:val="00F8559B"/>
    <w:rsid w:val="00F87E83"/>
    <w:rsid w:val="00FA66B5"/>
    <w:rsid w:val="00FA7C5D"/>
    <w:rsid w:val="00FB5E7F"/>
    <w:rsid w:val="00FB677C"/>
    <w:rsid w:val="00FC24C2"/>
    <w:rsid w:val="00FC4189"/>
    <w:rsid w:val="00FD698A"/>
    <w:rsid w:val="00FD7A65"/>
    <w:rsid w:val="00FE5759"/>
    <w:rsid w:val="00FF01CA"/>
    <w:rsid w:val="00FF7DC0"/>
    <w:rsid w:val="145FAAFC"/>
    <w:rsid w:val="1CFF0C8F"/>
    <w:rsid w:val="1EF8D6FB"/>
    <w:rsid w:val="30794CF9"/>
    <w:rsid w:val="33411B3E"/>
    <w:rsid w:val="3DD503B3"/>
    <w:rsid w:val="4762BD9C"/>
    <w:rsid w:val="4A64C5F0"/>
    <w:rsid w:val="558AB165"/>
    <w:rsid w:val="5AED347E"/>
    <w:rsid w:val="67D7EB98"/>
    <w:rsid w:val="6899BE09"/>
    <w:rsid w:val="723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1FF2"/>
  <w15:chartTrackingRefBased/>
  <w15:docId w15:val="{6853A59C-FC2F-4F5E-920A-AA53405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E3E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7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4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7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4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86B"/>
  </w:style>
  <w:style w:type="paragraph" w:styleId="Footer">
    <w:name w:val="footer"/>
    <w:basedOn w:val="Normal"/>
    <w:link w:val="FooterChar"/>
    <w:uiPriority w:val="99"/>
    <w:semiHidden/>
    <w:unhideWhenUsed/>
    <w:rsid w:val="00E5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86B"/>
  </w:style>
  <w:style w:type="character" w:styleId="Strong">
    <w:name w:val="Strong"/>
    <w:basedOn w:val="DefaultParagraphFont"/>
    <w:uiPriority w:val="22"/>
    <w:qFormat/>
    <w:rsid w:val="003462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39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6B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D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6F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7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7540"/>
    <w:rPr>
      <w:vertAlign w:val="superscript"/>
    </w:rPr>
  </w:style>
  <w:style w:type="paragraph" w:customStyle="1" w:styleId="Default">
    <w:name w:val="Default"/>
    <w:rsid w:val="003365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jsu.edu/senate/docs/SS-S11-6.pdf" TargetMode="External"/><Relationship Id="rId2" Type="http://schemas.openxmlformats.org/officeDocument/2006/relationships/hyperlink" Target="https://www.sjsu.edu/senate/docs/SS-S02-6.pdf" TargetMode="External"/><Relationship Id="rId1" Type="http://schemas.openxmlformats.org/officeDocument/2006/relationships/hyperlink" Target="https://www.calstate.edu/impact-of-the-csu/government/Advocacy-and-State-Relations/legislativereports1/csu-report-utilization-of-facilities-instructional-and-faculty-office-space-summary-of-campus-capacity.pdf" TargetMode="External"/><Relationship Id="rId4" Type="http://schemas.openxmlformats.org/officeDocument/2006/relationships/hyperlink" Target="https://www.calfac.org/cfa-san-luis-obis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F719727F2C8498B7141F4235E05CC" ma:contentTypeVersion="13" ma:contentTypeDescription="Create a new document." ma:contentTypeScope="" ma:versionID="b84269367449d2789cf73a90b907a06c">
  <xsd:schema xmlns:xsd="http://www.w3.org/2001/XMLSchema" xmlns:xs="http://www.w3.org/2001/XMLSchema" xmlns:p="http://schemas.microsoft.com/office/2006/metadata/properties" xmlns:ns3="3e2e60c1-0989-4970-9748-79c3b27d680e" xmlns:ns4="b560cfcb-0b0d-48dd-85c3-b7faee20dffe" targetNamespace="http://schemas.microsoft.com/office/2006/metadata/properties" ma:root="true" ma:fieldsID="aa77ddfaf271e4513a120a8451ad05fd" ns3:_="" ns4:_="">
    <xsd:import namespace="3e2e60c1-0989-4970-9748-79c3b27d680e"/>
    <xsd:import namespace="b560cfcb-0b0d-48dd-85c3-b7faee20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e60c1-0989-4970-9748-79c3b27d6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cfcb-0b0d-48dd-85c3-b7faee20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68384-291E-4716-B80E-20EB5BD06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693D9-75C7-4C33-B8D7-908B0596C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51B427-079F-40A3-9664-9819C8E8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e60c1-0989-4970-9748-79c3b27d680e"/>
    <ds:schemaRef ds:uri="b560cfcb-0b0d-48dd-85c3-b7faee20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F0EA7-2A1B-4DD9-A8D4-4CA5A57B4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 Forward</dc:creator>
  <cp:keywords/>
  <dc:description/>
  <cp:lastModifiedBy>Valerie Otto</cp:lastModifiedBy>
  <cp:revision>2</cp:revision>
  <cp:lastPrinted>2023-02-09T17:29:00Z</cp:lastPrinted>
  <dcterms:created xsi:type="dcterms:W3CDTF">2023-03-06T23:33:00Z</dcterms:created>
  <dcterms:modified xsi:type="dcterms:W3CDTF">2023-03-06T23:33:00Z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0x0101005F2F719727F2C8498B7141F4235E05CC</vt:lpwstr>
  </property>
  <property fmtid="{D5CDD505-2E9C-101B-9397-08002B2CF9AE}" pid="3" name="GrammarlyDocumentId">
    <vt:lpwstr>64ec85bf3df704b8f2abe114dd1903cb89329a8684ee56a8aa741a45c073af01</vt:lpwstr>
  </property>
</Properties>
</file>