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E77D" w14:textId="77777777" w:rsidR="007A1460" w:rsidRDefault="00F83DA2">
      <w:pPr>
        <w:tabs>
          <w:tab w:val="left" w:pos="0"/>
        </w:tabs>
        <w:jc w:val="center"/>
        <w:rPr>
          <w:rFonts w:ascii="Arial" w:hAnsi="Arial" w:cs="Arial"/>
          <w:sz w:val="22"/>
          <w:szCs w:val="22"/>
        </w:rPr>
      </w:pPr>
      <w:r>
        <w:rPr>
          <w:rFonts w:ascii="Arial" w:hAnsi="Arial" w:cs="Arial"/>
          <w:sz w:val="22"/>
          <w:szCs w:val="22"/>
        </w:rPr>
        <w:t>Resolution</w:t>
      </w:r>
    </w:p>
    <w:p w14:paraId="30D99335" w14:textId="77777777" w:rsidR="007A1460" w:rsidRDefault="00F83DA2">
      <w:pPr>
        <w:tabs>
          <w:tab w:val="left" w:pos="0"/>
        </w:tabs>
        <w:jc w:val="center"/>
        <w:rPr>
          <w:rFonts w:ascii="Arial" w:hAnsi="Arial" w:cs="Arial"/>
          <w:sz w:val="22"/>
          <w:szCs w:val="22"/>
        </w:rPr>
      </w:pPr>
      <w:r>
        <w:rPr>
          <w:rFonts w:ascii="Arial" w:hAnsi="Arial" w:cs="Arial"/>
          <w:sz w:val="22"/>
          <w:szCs w:val="22"/>
        </w:rPr>
        <w:t>On Community Oversight of the University Police Department</w:t>
      </w:r>
    </w:p>
    <w:p w14:paraId="25F12834" w14:textId="77777777" w:rsidR="007A1460" w:rsidRDefault="007A1460">
      <w:pPr>
        <w:tabs>
          <w:tab w:val="left" w:pos="0"/>
        </w:tabs>
        <w:rPr>
          <w:rFonts w:ascii="Arial" w:hAnsi="Arial" w:cs="Arial"/>
          <w:sz w:val="22"/>
          <w:szCs w:val="22"/>
        </w:rPr>
      </w:pPr>
    </w:p>
    <w:p w14:paraId="2FA02577" w14:textId="77777777" w:rsidR="007A1460" w:rsidRDefault="00F83DA2">
      <w:pPr>
        <w:tabs>
          <w:tab w:val="left" w:pos="1800"/>
        </w:tabs>
        <w:spacing w:after="240"/>
        <w:ind w:left="1800" w:hanging="1800"/>
        <w:rPr>
          <w:rFonts w:ascii="Arial" w:hAnsi="Arial" w:cs="Arial"/>
          <w:sz w:val="22"/>
          <w:szCs w:val="22"/>
        </w:rPr>
      </w:pPr>
      <w:r>
        <w:rPr>
          <w:rFonts w:ascii="Arial" w:hAnsi="Arial" w:cs="Arial"/>
          <w:b/>
          <w:bCs/>
          <w:sz w:val="22"/>
          <w:szCs w:val="22"/>
        </w:rPr>
        <w:t xml:space="preserve">WHEREAS, </w:t>
      </w:r>
      <w:r>
        <w:rPr>
          <w:rFonts w:ascii="Arial" w:hAnsi="Arial" w:cs="Arial"/>
          <w:b/>
          <w:bCs/>
          <w:sz w:val="22"/>
          <w:szCs w:val="22"/>
        </w:rPr>
        <w:tab/>
      </w:r>
      <w:r>
        <w:rPr>
          <w:rFonts w:ascii="Arial" w:hAnsi="Arial" w:cs="Arial"/>
          <w:sz w:val="22"/>
          <w:szCs w:val="22"/>
        </w:rPr>
        <w:t xml:space="preserve">In June 2020, the Cal Poly Pomona Academic Senate passed the resolution, </w:t>
      </w:r>
      <w:hyperlink r:id="rId7">
        <w:r>
          <w:rPr>
            <w:rStyle w:val="Hyperlink"/>
            <w:rFonts w:ascii="Arial" w:hAnsi="Arial" w:cs="Arial"/>
            <w:sz w:val="22"/>
            <w:szCs w:val="22"/>
          </w:rPr>
          <w:t>“Cal Poly Pomona’s Commitment to Anti-Racism,”</w:t>
        </w:r>
        <w:r>
          <w:rPr>
            <w:rStyle w:val="EndnoteAnchor"/>
            <w:rFonts w:ascii="Arial" w:hAnsi="Arial" w:cs="Arial"/>
            <w:color w:val="000000" w:themeColor="text1"/>
            <w:sz w:val="22"/>
            <w:szCs w:val="22"/>
          </w:rPr>
          <w:endnoteReference w:id="1"/>
        </w:r>
      </w:hyperlink>
      <w:r>
        <w:rPr>
          <w:rFonts w:ascii="Arial" w:hAnsi="Arial" w:cs="Arial"/>
          <w:color w:val="000000" w:themeColor="text1"/>
          <w:sz w:val="22"/>
          <w:szCs w:val="22"/>
        </w:rPr>
        <w:t xml:space="preserve"> </w:t>
      </w:r>
      <w:r>
        <w:rPr>
          <w:rFonts w:ascii="Arial" w:hAnsi="Arial" w:cs="Arial"/>
          <w:sz w:val="22"/>
          <w:szCs w:val="22"/>
        </w:rPr>
        <w:t>which states: “We must create safe campus environments for racialized faculty, students, and staff on our campuses, where we immediately respond to systemic and individual cases of racism and its various manifestations in higher education;” and</w:t>
      </w:r>
    </w:p>
    <w:p w14:paraId="2DCA0027" w14:textId="77777777" w:rsidR="007A1460" w:rsidRDefault="00F83DA2">
      <w:pPr>
        <w:tabs>
          <w:tab w:val="left" w:pos="1800"/>
        </w:tabs>
        <w:spacing w:after="240"/>
        <w:ind w:left="1800" w:hanging="1800"/>
        <w:rPr>
          <w:rFonts w:ascii="Arial" w:hAnsi="Arial" w:cs="Arial"/>
          <w:sz w:val="22"/>
          <w:szCs w:val="22"/>
        </w:rPr>
      </w:pPr>
      <w:r>
        <w:rPr>
          <w:rFonts w:ascii="Arial" w:hAnsi="Arial" w:cs="Arial"/>
          <w:b/>
          <w:bCs/>
          <w:sz w:val="22"/>
          <w:szCs w:val="22"/>
        </w:rPr>
        <w:t>WHEREAS,</w:t>
      </w:r>
      <w:r>
        <w:rPr>
          <w:rFonts w:ascii="Arial" w:hAnsi="Arial" w:cs="Arial"/>
          <w:b/>
          <w:bCs/>
          <w:sz w:val="22"/>
          <w:szCs w:val="22"/>
        </w:rPr>
        <w:tab/>
      </w:r>
      <w:r>
        <w:rPr>
          <w:rFonts w:ascii="Arial" w:hAnsi="Arial" w:cs="Arial"/>
          <w:sz w:val="22"/>
          <w:szCs w:val="22"/>
        </w:rPr>
        <w:t>On February 15</w:t>
      </w:r>
      <w:r>
        <w:rPr>
          <w:rFonts w:ascii="Arial" w:hAnsi="Arial" w:cs="Arial"/>
          <w:sz w:val="22"/>
          <w:szCs w:val="22"/>
          <w:vertAlign w:val="superscript"/>
        </w:rPr>
        <w:t>th</w:t>
      </w:r>
      <w:r>
        <w:rPr>
          <w:rFonts w:ascii="Arial" w:hAnsi="Arial" w:cs="Arial"/>
          <w:sz w:val="22"/>
          <w:szCs w:val="22"/>
        </w:rPr>
        <w:t xml:space="preserve">, 2021, a Black veteran Cal Poly Pomona student (henceforth referred to as The Student) published an open letter, </w:t>
      </w:r>
      <w:hyperlink r:id="rId8">
        <w:r>
          <w:rPr>
            <w:rStyle w:val="Hyperlink"/>
            <w:rFonts w:ascii="Arial" w:hAnsi="Arial" w:cs="Arial"/>
            <w:sz w:val="22"/>
            <w:szCs w:val="22"/>
          </w:rPr>
          <w:t>“I Reported a Crime and Ended Up Being Accused of One,”</w:t>
        </w:r>
        <w:r>
          <w:rPr>
            <w:rStyle w:val="EndnoteAnchor"/>
            <w:rFonts w:ascii="Arial" w:hAnsi="Arial" w:cs="Arial"/>
            <w:color w:val="000000" w:themeColor="text1"/>
            <w:sz w:val="22"/>
            <w:szCs w:val="22"/>
          </w:rPr>
          <w:endnoteReference w:id="2"/>
        </w:r>
      </w:hyperlink>
      <w:r>
        <w:rPr>
          <w:rFonts w:ascii="Arial" w:hAnsi="Arial" w:cs="Arial"/>
          <w:color w:val="000000" w:themeColor="text1"/>
          <w:sz w:val="22"/>
          <w:szCs w:val="22"/>
        </w:rPr>
        <w:t xml:space="preserve"> </w:t>
      </w:r>
      <w:r>
        <w:rPr>
          <w:rFonts w:ascii="Arial" w:hAnsi="Arial" w:cs="Arial"/>
          <w:sz w:val="22"/>
          <w:szCs w:val="22"/>
        </w:rPr>
        <w:t xml:space="preserve">about his negative experience with the Cal Poly Pomona University Police Department (UPD), and this experience was later reported in part four of the </w:t>
      </w:r>
      <w:hyperlink r:id="rId9">
        <w:r>
          <w:rPr>
            <w:rStyle w:val="Hyperlink"/>
            <w:rFonts w:ascii="Arial" w:hAnsi="Arial" w:cs="Arial"/>
            <w:sz w:val="22"/>
            <w:szCs w:val="22"/>
          </w:rPr>
          <w:t>“My Story Matters”</w:t>
        </w:r>
        <w:r>
          <w:rPr>
            <w:rStyle w:val="EndnoteAnchor"/>
            <w:rFonts w:ascii="Arial" w:hAnsi="Arial" w:cs="Arial"/>
            <w:color w:val="000000" w:themeColor="text1"/>
            <w:sz w:val="22"/>
            <w:szCs w:val="22"/>
          </w:rPr>
          <w:endnoteReference w:id="3"/>
        </w:r>
      </w:hyperlink>
      <w:r>
        <w:rPr>
          <w:rFonts w:ascii="Arial" w:hAnsi="Arial" w:cs="Arial"/>
          <w:sz w:val="22"/>
          <w:szCs w:val="22"/>
        </w:rPr>
        <w:t xml:space="preserve"> series published by the </w:t>
      </w:r>
      <w:r>
        <w:rPr>
          <w:rFonts w:ascii="Arial" w:hAnsi="Arial" w:cs="Arial"/>
          <w:i/>
          <w:iCs/>
          <w:sz w:val="22"/>
          <w:szCs w:val="22"/>
        </w:rPr>
        <w:t>Poly Post</w:t>
      </w:r>
      <w:r>
        <w:rPr>
          <w:rFonts w:ascii="Arial" w:hAnsi="Arial" w:cs="Arial"/>
          <w:sz w:val="22"/>
          <w:szCs w:val="22"/>
        </w:rPr>
        <w:t>; and</w:t>
      </w:r>
    </w:p>
    <w:p w14:paraId="0F73E814" w14:textId="5C48F428" w:rsidR="007A1460" w:rsidRDefault="00F83DA2" w:rsidP="00F92C64">
      <w:pPr>
        <w:tabs>
          <w:tab w:val="left" w:pos="1800"/>
        </w:tabs>
        <w:spacing w:after="240"/>
        <w:ind w:left="1800" w:hanging="1800"/>
        <w:rPr>
          <w:rFonts w:ascii="Arial" w:hAnsi="Arial" w:cs="Arial"/>
          <w:sz w:val="22"/>
          <w:szCs w:val="22"/>
        </w:rPr>
      </w:pPr>
      <w:r>
        <w:rPr>
          <w:rFonts w:ascii="Arial" w:hAnsi="Arial" w:cs="Arial"/>
          <w:b/>
          <w:bCs/>
          <w:sz w:val="22"/>
          <w:szCs w:val="22"/>
        </w:rPr>
        <w:t>WHEREAS,</w:t>
      </w:r>
      <w:r>
        <w:rPr>
          <w:rFonts w:ascii="Arial" w:hAnsi="Arial" w:cs="Arial"/>
          <w:b/>
          <w:bCs/>
          <w:sz w:val="22"/>
          <w:szCs w:val="22"/>
        </w:rPr>
        <w:tab/>
      </w:r>
      <w:proofErr w:type="gramStart"/>
      <w:r w:rsidR="00146F50" w:rsidRPr="00146F50">
        <w:rPr>
          <w:rFonts w:ascii="Arial" w:hAnsi="Arial" w:cs="Arial"/>
          <w:sz w:val="22"/>
          <w:szCs w:val="22"/>
        </w:rPr>
        <w:t>There</w:t>
      </w:r>
      <w:proofErr w:type="gramEnd"/>
      <w:r w:rsidR="00146F50" w:rsidRPr="00146F50">
        <w:rPr>
          <w:rFonts w:ascii="Arial" w:hAnsi="Arial" w:cs="Arial"/>
          <w:sz w:val="22"/>
          <w:szCs w:val="22"/>
        </w:rPr>
        <w:t xml:space="preserve"> is concern that this incident may be part of a broader pattern of reported racial discrimination by students and </w:t>
      </w:r>
      <w:r w:rsidR="00F92C64">
        <w:rPr>
          <w:rFonts w:ascii="Arial" w:hAnsi="Arial" w:cs="Arial"/>
          <w:sz w:val="22"/>
          <w:szCs w:val="22"/>
        </w:rPr>
        <w:t xml:space="preserve">statements by </w:t>
      </w:r>
      <w:r>
        <w:rPr>
          <w:rFonts w:ascii="Arial" w:hAnsi="Arial" w:cs="Arial"/>
          <w:sz w:val="22"/>
          <w:szCs w:val="22"/>
        </w:rPr>
        <w:t>students that they have no meaningful avenue for reporting racial discrimination on campus</w:t>
      </w:r>
      <w:r w:rsidR="001E6FB9">
        <w:rPr>
          <w:rFonts w:ascii="Arial" w:hAnsi="Arial" w:cs="Arial"/>
          <w:sz w:val="22"/>
          <w:szCs w:val="22"/>
        </w:rPr>
        <w:t>,</w:t>
      </w:r>
      <w:r>
        <w:rPr>
          <w:rFonts w:ascii="Arial" w:hAnsi="Arial" w:cs="Arial"/>
          <w:sz w:val="22"/>
          <w:szCs w:val="22"/>
        </w:rPr>
        <w:t xml:space="preserve"> and </w:t>
      </w:r>
    </w:p>
    <w:p w14:paraId="6C9B0587" w14:textId="31D665A2" w:rsidR="007A1460" w:rsidRDefault="00F83DA2">
      <w:pPr>
        <w:tabs>
          <w:tab w:val="left" w:pos="1800"/>
        </w:tabs>
        <w:spacing w:after="240"/>
        <w:ind w:left="1800" w:hanging="1800"/>
        <w:rPr>
          <w:rFonts w:ascii="Arial" w:hAnsi="Arial" w:cs="Arial"/>
          <w:sz w:val="22"/>
          <w:szCs w:val="22"/>
        </w:rPr>
      </w:pPr>
      <w:r>
        <w:rPr>
          <w:rFonts w:ascii="Arial" w:hAnsi="Arial" w:cs="Arial"/>
          <w:b/>
          <w:bCs/>
          <w:sz w:val="22"/>
          <w:szCs w:val="22"/>
        </w:rPr>
        <w:t>WHEREAS,</w:t>
      </w:r>
      <w:r>
        <w:rPr>
          <w:rFonts w:ascii="Arial" w:hAnsi="Arial" w:cs="Arial"/>
          <w:b/>
          <w:bCs/>
          <w:sz w:val="22"/>
          <w:szCs w:val="22"/>
        </w:rPr>
        <w:tab/>
      </w:r>
      <w:r>
        <w:rPr>
          <w:rFonts w:ascii="Arial" w:hAnsi="Arial" w:cs="Arial"/>
          <w:sz w:val="22"/>
          <w:szCs w:val="22"/>
        </w:rPr>
        <w:t xml:space="preserve">The Academic Senate’s stated commitment, cited above, to provide a safe campus environment for racialized students demands that we take reported patterns of racial discrimination seriously and respond effectively to claims of discriminatory practices; therefore, be </w:t>
      </w:r>
      <w:proofErr w:type="gramStart"/>
      <w:r>
        <w:rPr>
          <w:rFonts w:ascii="Arial" w:hAnsi="Arial" w:cs="Arial"/>
          <w:sz w:val="22"/>
          <w:szCs w:val="22"/>
        </w:rPr>
        <w:t>it</w:t>
      </w:r>
      <w:proofErr w:type="gramEnd"/>
    </w:p>
    <w:p w14:paraId="12300A13" w14:textId="77777777" w:rsidR="007A1460" w:rsidRDefault="00F83DA2">
      <w:pPr>
        <w:tabs>
          <w:tab w:val="left" w:pos="1800"/>
        </w:tabs>
        <w:spacing w:after="240"/>
        <w:ind w:left="1800" w:hanging="1800"/>
        <w:rPr>
          <w:rFonts w:ascii="Arial" w:hAnsi="Arial" w:cs="Arial"/>
          <w:sz w:val="22"/>
          <w:szCs w:val="22"/>
        </w:rPr>
      </w:pPr>
      <w:r>
        <w:rPr>
          <w:rFonts w:ascii="Arial" w:hAnsi="Arial" w:cs="Arial"/>
          <w:b/>
          <w:bCs/>
          <w:sz w:val="22"/>
          <w:szCs w:val="22"/>
        </w:rPr>
        <w:t xml:space="preserve">RESOLVED, </w:t>
      </w:r>
      <w:r>
        <w:rPr>
          <w:rFonts w:ascii="Arial" w:hAnsi="Arial" w:cs="Arial"/>
          <w:b/>
          <w:bCs/>
          <w:sz w:val="22"/>
          <w:szCs w:val="22"/>
        </w:rPr>
        <w:tab/>
      </w:r>
      <w:r>
        <w:rPr>
          <w:rFonts w:ascii="Arial" w:hAnsi="Arial" w:cs="Arial"/>
          <w:sz w:val="22"/>
          <w:szCs w:val="22"/>
        </w:rPr>
        <w:t xml:space="preserve">The Academic Senate calls on the entire campus community to support the work of the </w:t>
      </w:r>
      <w:hyperlink r:id="rId10">
        <w:r>
          <w:rPr>
            <w:rStyle w:val="Hyperlink"/>
            <w:rFonts w:ascii="Arial" w:hAnsi="Arial" w:cs="Arial"/>
            <w:sz w:val="22"/>
            <w:szCs w:val="22"/>
          </w:rPr>
          <w:t>Police Advisory Task Force</w:t>
        </w:r>
        <w:r>
          <w:rPr>
            <w:rStyle w:val="EndnoteAnchor"/>
            <w:rFonts w:ascii="Arial" w:hAnsi="Arial" w:cs="Arial"/>
            <w:color w:val="000000" w:themeColor="text1"/>
            <w:sz w:val="22"/>
            <w:szCs w:val="22"/>
          </w:rPr>
          <w:endnoteReference w:id="4"/>
        </w:r>
      </w:hyperlink>
      <w:r>
        <w:rPr>
          <w:rFonts w:ascii="Arial" w:hAnsi="Arial" w:cs="Arial"/>
          <w:color w:val="000000" w:themeColor="text1"/>
          <w:sz w:val="22"/>
          <w:szCs w:val="22"/>
        </w:rPr>
        <w:t xml:space="preserve"> </w:t>
      </w:r>
      <w:r>
        <w:rPr>
          <w:rFonts w:ascii="Arial" w:hAnsi="Arial" w:cs="Arial"/>
          <w:sz w:val="22"/>
          <w:szCs w:val="22"/>
        </w:rPr>
        <w:t xml:space="preserve">and push forward with </w:t>
      </w:r>
      <w:hyperlink r:id="rId11">
        <w:r>
          <w:rPr>
            <w:rStyle w:val="Hyperlink"/>
            <w:rFonts w:ascii="Arial" w:hAnsi="Arial" w:cs="Arial"/>
            <w:sz w:val="22"/>
            <w:szCs w:val="22"/>
          </w:rPr>
          <w:t>“Our Commitment to Action”</w:t>
        </w:r>
        <w:r>
          <w:rPr>
            <w:rStyle w:val="EndnoteAnchor"/>
            <w:rFonts w:ascii="Arial" w:hAnsi="Arial" w:cs="Arial"/>
            <w:color w:val="000000" w:themeColor="text1"/>
            <w:sz w:val="22"/>
            <w:szCs w:val="22"/>
          </w:rPr>
          <w:endnoteReference w:id="5"/>
        </w:r>
      </w:hyperlink>
      <w:r>
        <w:rPr>
          <w:rFonts w:ascii="Arial" w:hAnsi="Arial" w:cs="Arial"/>
          <w:color w:val="000000" w:themeColor="text1"/>
          <w:sz w:val="22"/>
          <w:szCs w:val="22"/>
        </w:rPr>
        <w:t xml:space="preserve"> </w:t>
      </w:r>
      <w:r>
        <w:rPr>
          <w:rFonts w:ascii="Arial" w:hAnsi="Arial" w:cs="Arial"/>
          <w:sz w:val="22"/>
          <w:szCs w:val="22"/>
        </w:rPr>
        <w:t xml:space="preserve">through </w:t>
      </w:r>
      <w:hyperlink r:id="rId12">
        <w:r>
          <w:rPr>
            <w:rStyle w:val="Hyperlink"/>
            <w:rFonts w:ascii="Arial" w:hAnsi="Arial" w:cs="Arial"/>
            <w:sz w:val="22"/>
            <w:szCs w:val="22"/>
          </w:rPr>
          <w:t>Cal Poly Pomona Inclusive Excellence</w:t>
        </w:r>
      </w:hyperlink>
      <w:r>
        <w:rPr>
          <w:rFonts w:ascii="Arial" w:hAnsi="Arial" w:cs="Arial"/>
          <w:sz w:val="22"/>
          <w:szCs w:val="22"/>
        </w:rPr>
        <w:t>;</w:t>
      </w:r>
      <w:r>
        <w:rPr>
          <w:rStyle w:val="EndnoteAnchor"/>
          <w:rFonts w:ascii="Arial" w:hAnsi="Arial" w:cs="Arial"/>
          <w:sz w:val="22"/>
          <w:szCs w:val="22"/>
        </w:rPr>
        <w:endnoteReference w:id="6"/>
      </w:r>
      <w:r>
        <w:rPr>
          <w:rFonts w:ascii="Arial" w:hAnsi="Arial" w:cs="Arial"/>
          <w:sz w:val="22"/>
          <w:szCs w:val="22"/>
        </w:rPr>
        <w:t xml:space="preserve"> and be it also</w:t>
      </w:r>
    </w:p>
    <w:p w14:paraId="57FF4275" w14:textId="77777777" w:rsidR="007A1460" w:rsidRDefault="00F83DA2">
      <w:pPr>
        <w:tabs>
          <w:tab w:val="left" w:pos="1800"/>
        </w:tabs>
        <w:spacing w:after="240"/>
        <w:ind w:left="1800" w:hanging="1800"/>
        <w:rPr>
          <w:rFonts w:ascii="Arial" w:hAnsi="Arial" w:cs="Arial"/>
          <w:sz w:val="22"/>
          <w:szCs w:val="22"/>
        </w:rPr>
      </w:pPr>
      <w:r>
        <w:rPr>
          <w:rFonts w:ascii="Arial" w:hAnsi="Arial" w:cs="Arial"/>
          <w:b/>
          <w:bCs/>
          <w:sz w:val="22"/>
          <w:szCs w:val="22"/>
        </w:rPr>
        <w:t>RESOLVED,</w:t>
      </w:r>
      <w:r>
        <w:rPr>
          <w:rFonts w:ascii="Arial" w:hAnsi="Arial" w:cs="Arial"/>
          <w:b/>
          <w:bCs/>
          <w:sz w:val="22"/>
          <w:szCs w:val="22"/>
        </w:rPr>
        <w:tab/>
      </w:r>
      <w:r>
        <w:rPr>
          <w:rFonts w:ascii="Arial" w:hAnsi="Arial" w:cs="Arial"/>
          <w:sz w:val="22"/>
          <w:szCs w:val="22"/>
        </w:rPr>
        <w:t>The Academic Senate calls for the Police Advisory Board being designed by the Police Advisory Task Force to be formed with meaningful oversight capabilities, bestowed with advisory power for reviewing and changing UPD policy and practice, and comprised of individuals from multiple campus constituencies outside of the Division of Student Affairs and UPD, such as Cal Poly Pomona students, staff, and faculty; and be it also</w:t>
      </w:r>
    </w:p>
    <w:p w14:paraId="76A56E3F" w14:textId="77777777" w:rsidR="007A1460" w:rsidRDefault="00F83DA2">
      <w:pPr>
        <w:tabs>
          <w:tab w:val="left" w:pos="1800"/>
        </w:tabs>
        <w:spacing w:after="240"/>
        <w:ind w:left="1800" w:hanging="1800"/>
        <w:rPr>
          <w:rFonts w:ascii="Arial" w:hAnsi="Arial" w:cs="Arial"/>
          <w:sz w:val="22"/>
          <w:szCs w:val="22"/>
        </w:rPr>
      </w:pPr>
      <w:r>
        <w:rPr>
          <w:rFonts w:ascii="Arial" w:hAnsi="Arial" w:cs="Arial"/>
          <w:b/>
          <w:bCs/>
          <w:sz w:val="22"/>
          <w:szCs w:val="22"/>
        </w:rPr>
        <w:t>RESOLVED,</w:t>
      </w:r>
      <w:r>
        <w:rPr>
          <w:rFonts w:ascii="Arial" w:hAnsi="Arial" w:cs="Arial"/>
          <w:b/>
          <w:bCs/>
          <w:sz w:val="22"/>
          <w:szCs w:val="22"/>
        </w:rPr>
        <w:tab/>
      </w:r>
      <w:r>
        <w:rPr>
          <w:rFonts w:ascii="Arial" w:hAnsi="Arial" w:cs="Arial"/>
          <w:sz w:val="22"/>
          <w:szCs w:val="22"/>
        </w:rPr>
        <w:t xml:space="preserve">The Academic Senate calls on the Division of Student Affairs and UPD, in consultation with the Police Advisory Task Force, to immediately implement a meaningful and transparent reporting process for complaints against UPD that goes beyond meeting the minimal legal requirements set forth in the </w:t>
      </w:r>
      <w:hyperlink r:id="rId13">
        <w:r>
          <w:rPr>
            <w:rStyle w:val="Hyperlink"/>
            <w:rFonts w:ascii="Arial" w:hAnsi="Arial" w:cs="Arial"/>
            <w:sz w:val="22"/>
            <w:szCs w:val="22"/>
          </w:rPr>
          <w:t>California Penal Code section 832.5</w:t>
        </w:r>
        <w:r>
          <w:rPr>
            <w:rStyle w:val="EndnoteAnchor"/>
            <w:rFonts w:ascii="Arial" w:hAnsi="Arial" w:cs="Arial"/>
            <w:color w:val="000000" w:themeColor="text1"/>
            <w:sz w:val="22"/>
            <w:szCs w:val="22"/>
          </w:rPr>
          <w:endnoteReference w:id="7"/>
        </w:r>
      </w:hyperlink>
      <w:r>
        <w:rPr>
          <w:rFonts w:ascii="Arial" w:hAnsi="Arial" w:cs="Arial"/>
          <w:sz w:val="22"/>
          <w:szCs w:val="22"/>
        </w:rPr>
        <w:t xml:space="preserve"> and to post information about this process in multiple public and prominent places (for example, the websites of the Division of Student Affairs, UPD, and other administrative offices); and be it also</w:t>
      </w:r>
    </w:p>
    <w:p w14:paraId="43836EBB" w14:textId="77777777" w:rsidR="007A1460" w:rsidRDefault="00F83DA2">
      <w:pPr>
        <w:tabs>
          <w:tab w:val="left" w:pos="1800"/>
        </w:tabs>
        <w:spacing w:after="240"/>
        <w:ind w:left="1800" w:hanging="1800"/>
        <w:rPr>
          <w:rFonts w:ascii="Arial" w:hAnsi="Arial" w:cs="Arial"/>
          <w:sz w:val="22"/>
          <w:szCs w:val="22"/>
        </w:rPr>
      </w:pPr>
      <w:r>
        <w:rPr>
          <w:rFonts w:ascii="Arial" w:hAnsi="Arial" w:cs="Arial"/>
          <w:b/>
          <w:bCs/>
          <w:sz w:val="22"/>
          <w:szCs w:val="22"/>
        </w:rPr>
        <w:t>RESOLVED,</w:t>
      </w:r>
      <w:r>
        <w:rPr>
          <w:rFonts w:ascii="Arial" w:hAnsi="Arial" w:cs="Arial"/>
          <w:b/>
          <w:bCs/>
          <w:sz w:val="22"/>
          <w:szCs w:val="22"/>
        </w:rPr>
        <w:tab/>
      </w:r>
      <w:r>
        <w:rPr>
          <w:rFonts w:ascii="Arial" w:hAnsi="Arial" w:cs="Arial"/>
          <w:sz w:val="22"/>
          <w:szCs w:val="22"/>
        </w:rPr>
        <w:t>The Academic Senate calls on the working committees and administrative officials carrying out “Our Commitment to Action” to pay special attention to the places in which the University exercises direct institutional power, as in the case of University policing, over our students and to demand immediate change on policies that render students of color even more vulnerable to abuses of institutional power; and be it also</w:t>
      </w:r>
    </w:p>
    <w:p w14:paraId="243BE1EA" w14:textId="77777777" w:rsidR="007A1460" w:rsidRDefault="00F83DA2">
      <w:pPr>
        <w:tabs>
          <w:tab w:val="left" w:pos="1800"/>
        </w:tabs>
        <w:ind w:left="1800" w:hanging="1800"/>
        <w:rPr>
          <w:rFonts w:ascii="Arial" w:hAnsi="Arial" w:cs="Arial"/>
          <w:sz w:val="22"/>
          <w:szCs w:val="22"/>
        </w:rPr>
      </w:pPr>
      <w:r>
        <w:rPr>
          <w:rFonts w:ascii="Arial" w:hAnsi="Arial" w:cs="Arial"/>
          <w:b/>
          <w:bCs/>
          <w:sz w:val="22"/>
          <w:szCs w:val="22"/>
        </w:rPr>
        <w:t xml:space="preserve">RESOLVED, </w:t>
      </w:r>
      <w:r>
        <w:rPr>
          <w:rFonts w:ascii="Arial" w:hAnsi="Arial" w:cs="Arial"/>
          <w:b/>
          <w:bCs/>
          <w:sz w:val="22"/>
          <w:szCs w:val="22"/>
        </w:rPr>
        <w:tab/>
      </w:r>
      <w:r>
        <w:rPr>
          <w:rFonts w:ascii="Arial" w:hAnsi="Arial" w:cs="Arial"/>
          <w:sz w:val="22"/>
          <w:szCs w:val="22"/>
        </w:rPr>
        <w:t>The Academic Senate commends UPD for pledging</w:t>
      </w:r>
      <w:r>
        <w:rPr>
          <w:rStyle w:val="EndnoteAnchor"/>
          <w:rFonts w:ascii="Arial" w:hAnsi="Arial" w:cs="Arial"/>
          <w:sz w:val="22"/>
          <w:szCs w:val="22"/>
        </w:rPr>
        <w:endnoteReference w:id="8"/>
      </w:r>
      <w:r>
        <w:rPr>
          <w:rFonts w:ascii="Arial" w:hAnsi="Arial" w:cs="Arial"/>
          <w:sz w:val="22"/>
          <w:szCs w:val="22"/>
        </w:rPr>
        <w:t xml:space="preserve"> to implement the recommendations of </w:t>
      </w:r>
      <w:hyperlink r:id="rId14">
        <w:r>
          <w:rPr>
            <w:rStyle w:val="Hyperlink"/>
            <w:rFonts w:ascii="Arial" w:hAnsi="Arial" w:cs="Arial"/>
            <w:sz w:val="22"/>
            <w:szCs w:val="22"/>
          </w:rPr>
          <w:t>The President’s Task Force on 21</w:t>
        </w:r>
        <w:r>
          <w:rPr>
            <w:rStyle w:val="Hyperlink"/>
            <w:rFonts w:ascii="Arial" w:hAnsi="Arial" w:cs="Arial"/>
            <w:sz w:val="22"/>
            <w:szCs w:val="22"/>
            <w:vertAlign w:val="superscript"/>
          </w:rPr>
          <w:t>st</w:t>
        </w:r>
        <w:r>
          <w:rPr>
            <w:rStyle w:val="Hyperlink"/>
            <w:rFonts w:ascii="Arial" w:hAnsi="Arial" w:cs="Arial"/>
            <w:sz w:val="22"/>
            <w:szCs w:val="22"/>
          </w:rPr>
          <w:t xml:space="preserve"> Century Policing</w:t>
        </w:r>
      </w:hyperlink>
      <w:r>
        <w:rPr>
          <w:rFonts w:ascii="Arial" w:hAnsi="Arial" w:cs="Arial"/>
          <w:sz w:val="22"/>
          <w:szCs w:val="22"/>
        </w:rPr>
        <w:t>, reported to President Barack Obama in May 2015,</w:t>
      </w:r>
      <w:r>
        <w:rPr>
          <w:rStyle w:val="EndnoteCharacters"/>
          <w:rFonts w:ascii="Arial" w:hAnsi="Arial" w:cs="Arial"/>
          <w:sz w:val="22"/>
          <w:szCs w:val="22"/>
        </w:rPr>
        <w:t xml:space="preserve"> </w:t>
      </w:r>
      <w:r>
        <w:rPr>
          <w:rStyle w:val="EndnoteAnchor"/>
          <w:rFonts w:ascii="Arial" w:hAnsi="Arial" w:cs="Arial"/>
          <w:sz w:val="22"/>
          <w:szCs w:val="22"/>
        </w:rPr>
        <w:endnoteReference w:id="9"/>
      </w:r>
      <w:r>
        <w:rPr>
          <w:rFonts w:ascii="Arial" w:hAnsi="Arial" w:cs="Arial"/>
          <w:sz w:val="22"/>
          <w:szCs w:val="22"/>
        </w:rPr>
        <w:t xml:space="preserve"> and calls on UPD to make public their plan and timeline for implementing these recommendations, which include (among many others):</w:t>
      </w:r>
    </w:p>
    <w:p w14:paraId="285689A7" w14:textId="77777777" w:rsidR="007A1460" w:rsidRDefault="00F83DA2">
      <w:pPr>
        <w:pStyle w:val="ListParagraph"/>
        <w:numPr>
          <w:ilvl w:val="0"/>
          <w:numId w:val="1"/>
        </w:numPr>
        <w:tabs>
          <w:tab w:val="left" w:pos="1800"/>
        </w:tabs>
        <w:spacing w:after="240"/>
        <w:rPr>
          <w:rFonts w:ascii="Arial" w:hAnsi="Arial" w:cs="Arial"/>
          <w:sz w:val="22"/>
          <w:szCs w:val="22"/>
        </w:rPr>
      </w:pPr>
      <w:r>
        <w:rPr>
          <w:rFonts w:ascii="Arial" w:hAnsi="Arial" w:cs="Arial"/>
          <w:sz w:val="22"/>
          <w:szCs w:val="22"/>
        </w:rPr>
        <w:t>Ensuring “some form of civilian oversight of law enforcement” (Recommendation 2.8)</w:t>
      </w:r>
    </w:p>
    <w:p w14:paraId="1AEB95A0" w14:textId="77777777" w:rsidR="007A1460" w:rsidRDefault="00F83DA2">
      <w:pPr>
        <w:pStyle w:val="ListParagraph"/>
        <w:numPr>
          <w:ilvl w:val="0"/>
          <w:numId w:val="1"/>
        </w:numPr>
        <w:tabs>
          <w:tab w:val="left" w:pos="1800"/>
        </w:tabs>
        <w:spacing w:after="240"/>
        <w:rPr>
          <w:rFonts w:ascii="Arial" w:hAnsi="Arial" w:cs="Arial"/>
          <w:sz w:val="22"/>
          <w:szCs w:val="22"/>
        </w:rPr>
      </w:pPr>
      <w:r>
        <w:rPr>
          <w:rFonts w:ascii="Arial" w:hAnsi="Arial" w:cs="Arial"/>
          <w:sz w:val="22"/>
          <w:szCs w:val="22"/>
        </w:rPr>
        <w:lastRenderedPageBreak/>
        <w:t>Developing and adopting “policies and strategies that reinforce the importance of community engagement in managing public safety” (Recommendation 4.1)</w:t>
      </w:r>
    </w:p>
    <w:p w14:paraId="5AD7D950" w14:textId="77777777" w:rsidR="007A1460" w:rsidRDefault="00F83DA2">
      <w:pPr>
        <w:pStyle w:val="ListParagraph"/>
        <w:numPr>
          <w:ilvl w:val="0"/>
          <w:numId w:val="1"/>
        </w:numPr>
        <w:tabs>
          <w:tab w:val="left" w:pos="1800"/>
        </w:tabs>
        <w:spacing w:after="240"/>
        <w:rPr>
          <w:rFonts w:ascii="Arial" w:hAnsi="Arial" w:cs="Arial"/>
          <w:sz w:val="22"/>
          <w:szCs w:val="22"/>
        </w:rPr>
      </w:pPr>
      <w:r>
        <w:rPr>
          <w:rFonts w:ascii="Arial" w:hAnsi="Arial" w:cs="Arial"/>
          <w:sz w:val="22"/>
          <w:szCs w:val="22"/>
        </w:rPr>
        <w:t>Engaging “community members in the training process” (Recommendation 5.2),</w:t>
      </w:r>
    </w:p>
    <w:p w14:paraId="25B8C920" w14:textId="2F3BABCE" w:rsidR="007A1460" w:rsidRDefault="00F83DA2">
      <w:pPr>
        <w:pStyle w:val="ListParagraph"/>
        <w:tabs>
          <w:tab w:val="left" w:pos="1800"/>
        </w:tabs>
        <w:spacing w:after="240"/>
        <w:rPr>
          <w:rFonts w:ascii="Arial" w:hAnsi="Arial" w:cs="Arial"/>
          <w:sz w:val="22"/>
          <w:szCs w:val="22"/>
        </w:rPr>
      </w:pPr>
      <w:r>
        <w:rPr>
          <w:rFonts w:ascii="Arial" w:hAnsi="Arial" w:cs="Arial"/>
          <w:sz w:val="22"/>
          <w:szCs w:val="22"/>
        </w:rPr>
        <w:tab/>
      </w:r>
      <w:r w:rsidR="001E6FB9">
        <w:rPr>
          <w:rFonts w:ascii="Arial" w:hAnsi="Arial" w:cs="Arial"/>
          <w:sz w:val="22"/>
          <w:szCs w:val="22"/>
        </w:rPr>
        <w:t>and be it also</w:t>
      </w:r>
    </w:p>
    <w:p w14:paraId="3D089C27" w14:textId="77777777" w:rsidR="007A1460" w:rsidRDefault="00F83DA2">
      <w:pPr>
        <w:tabs>
          <w:tab w:val="left" w:pos="1800"/>
        </w:tabs>
        <w:ind w:left="1800" w:hanging="1800"/>
        <w:rPr>
          <w:rFonts w:ascii="Arial" w:hAnsi="Arial" w:cs="Arial"/>
          <w:sz w:val="22"/>
          <w:szCs w:val="22"/>
        </w:rPr>
      </w:pPr>
      <w:r>
        <w:rPr>
          <w:rFonts w:ascii="Arial" w:hAnsi="Arial" w:cs="Arial"/>
          <w:b/>
          <w:bCs/>
          <w:sz w:val="22"/>
          <w:szCs w:val="22"/>
        </w:rPr>
        <w:t>RESOLVED,</w:t>
      </w:r>
      <w:r>
        <w:rPr>
          <w:rFonts w:ascii="Arial" w:hAnsi="Arial" w:cs="Arial"/>
          <w:b/>
          <w:bCs/>
          <w:sz w:val="22"/>
          <w:szCs w:val="22"/>
        </w:rPr>
        <w:tab/>
      </w:r>
      <w:proofErr w:type="gramStart"/>
      <w:r>
        <w:rPr>
          <w:rFonts w:ascii="Arial" w:hAnsi="Arial" w:cs="Arial"/>
          <w:sz w:val="22"/>
          <w:szCs w:val="22"/>
        </w:rPr>
        <w:t>That</w:t>
      </w:r>
      <w:proofErr w:type="gramEnd"/>
      <w:r>
        <w:rPr>
          <w:rFonts w:ascii="Arial" w:hAnsi="Arial" w:cs="Arial"/>
          <w:sz w:val="22"/>
          <w:szCs w:val="22"/>
        </w:rPr>
        <w:t xml:space="preserve"> copies of this resolution be distributed widely, including, but not limited to: President of Cal Poly Pomona Dr. Soraya M. Coley and her Cabinet; the University Police Department and Police Chief Dario Robinson; Cal Poly Pomona Division of Student Affairs; Cal Poly Pomona Office of Equity and Compliance; Cal Poly Pomona Staff Council; Cal Poly Pomona Human Resources; President of Cal Poly Pomona ASI; the California State Student Association; and the Poly Post.</w:t>
      </w:r>
    </w:p>
    <w:p w14:paraId="0E5B619B" w14:textId="77777777" w:rsidR="007A1460" w:rsidRDefault="007A1460">
      <w:pPr>
        <w:tabs>
          <w:tab w:val="left" w:pos="1800"/>
        </w:tabs>
        <w:ind w:left="1800" w:hanging="1800"/>
        <w:rPr>
          <w:rFonts w:ascii="Arial" w:hAnsi="Arial" w:cs="Arial"/>
          <w:sz w:val="22"/>
          <w:szCs w:val="22"/>
        </w:rPr>
      </w:pPr>
    </w:p>
    <w:p w14:paraId="62BC3E30" w14:textId="77777777" w:rsidR="007A1460" w:rsidRDefault="007A1460">
      <w:pPr>
        <w:tabs>
          <w:tab w:val="left" w:pos="1800"/>
        </w:tabs>
        <w:ind w:left="1800" w:hanging="1800"/>
        <w:rPr>
          <w:rFonts w:ascii="Arial" w:hAnsi="Arial" w:cs="Arial"/>
          <w:sz w:val="22"/>
          <w:szCs w:val="22"/>
        </w:rPr>
      </w:pPr>
    </w:p>
    <w:p w14:paraId="6AAAB132" w14:textId="77777777" w:rsidR="007A1460" w:rsidRDefault="007A1460">
      <w:pPr>
        <w:tabs>
          <w:tab w:val="left" w:pos="1800"/>
        </w:tabs>
        <w:rPr>
          <w:rFonts w:ascii="Arial" w:hAnsi="Arial" w:cs="Arial"/>
          <w:sz w:val="22"/>
          <w:szCs w:val="22"/>
        </w:rPr>
      </w:pPr>
    </w:p>
    <w:sectPr w:rsidR="007A1460">
      <w:endnotePr>
        <w:numFmt w:val="decimal"/>
      </w:endnotePr>
      <w:pgSz w:w="12240" w:h="15840"/>
      <w:pgMar w:top="1080" w:right="864" w:bottom="1080" w:left="100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EDE2" w14:textId="77777777" w:rsidR="00F83DA2" w:rsidRDefault="00F83DA2">
      <w:r>
        <w:separator/>
      </w:r>
    </w:p>
  </w:endnote>
  <w:endnote w:type="continuationSeparator" w:id="0">
    <w:p w14:paraId="2758C279" w14:textId="77777777" w:rsidR="00F83DA2" w:rsidRDefault="00F83DA2">
      <w:r>
        <w:continuationSeparator/>
      </w:r>
    </w:p>
  </w:endnote>
  <w:endnote w:id="1">
    <w:p w14:paraId="43196293"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Available at: </w:t>
      </w:r>
      <w:hyperlink r:id="rId1">
        <w:r>
          <w:rPr>
            <w:rStyle w:val="Hyperlink"/>
            <w:rFonts w:ascii="Arial" w:hAnsi="Arial" w:cs="Arial"/>
            <w:sz w:val="18"/>
            <w:szCs w:val="18"/>
          </w:rPr>
          <w:t>https://www.cpp.edu/senate/documents/resolutions/resolution_anti-racism_final.pdf</w:t>
        </w:r>
      </w:hyperlink>
      <w:r>
        <w:rPr>
          <w:rFonts w:ascii="Arial" w:hAnsi="Arial" w:cs="Arial"/>
          <w:sz w:val="18"/>
          <w:szCs w:val="18"/>
        </w:rPr>
        <w:t xml:space="preserve">. </w:t>
      </w:r>
    </w:p>
  </w:endnote>
  <w:endnote w:id="2">
    <w:p w14:paraId="3FE778C5"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Available at: </w:t>
      </w:r>
      <w:hyperlink r:id="rId2">
        <w:r>
          <w:rPr>
            <w:rStyle w:val="Hyperlink"/>
            <w:rFonts w:ascii="Arial" w:hAnsi="Arial" w:cs="Arial"/>
            <w:sz w:val="18"/>
            <w:szCs w:val="18"/>
          </w:rPr>
          <w:t>https://lastpagekillsreader.medium.com/i-reported-a-crime-and-ended-up-being-accused-of-one-366388d41422</w:t>
        </w:r>
      </w:hyperlink>
      <w:r>
        <w:rPr>
          <w:rFonts w:ascii="Arial" w:hAnsi="Arial" w:cs="Arial"/>
          <w:sz w:val="18"/>
          <w:szCs w:val="18"/>
        </w:rPr>
        <w:t xml:space="preserve">. </w:t>
      </w:r>
    </w:p>
  </w:endnote>
  <w:endnote w:id="3">
    <w:p w14:paraId="2E10EF77"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Available at: </w:t>
      </w:r>
      <w:hyperlink r:id="rId3">
        <w:r>
          <w:rPr>
            <w:rStyle w:val="Hyperlink"/>
            <w:rFonts w:ascii="Arial" w:hAnsi="Arial" w:cs="Arial"/>
            <w:sz w:val="18"/>
            <w:szCs w:val="18"/>
          </w:rPr>
          <w:t>https://thepolypost.com/news/2021/03/09/my-story-matters-a-student-voice-series-4/</w:t>
        </w:r>
      </w:hyperlink>
      <w:r>
        <w:rPr>
          <w:rFonts w:ascii="Arial" w:hAnsi="Arial" w:cs="Arial"/>
          <w:sz w:val="18"/>
          <w:szCs w:val="18"/>
        </w:rPr>
        <w:t xml:space="preserve">. </w:t>
      </w:r>
    </w:p>
  </w:endnote>
  <w:endnote w:id="4">
    <w:p w14:paraId="0F1F6C06"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See: </w:t>
      </w:r>
      <w:hyperlink r:id="rId4">
        <w:r>
          <w:rPr>
            <w:rStyle w:val="Hyperlink"/>
            <w:rFonts w:ascii="Arial" w:hAnsi="Arial" w:cs="Arial"/>
            <w:sz w:val="18"/>
            <w:szCs w:val="18"/>
          </w:rPr>
          <w:t>https://www.cpp.edu/student-affairs/patf.shtml</w:t>
        </w:r>
      </w:hyperlink>
      <w:r>
        <w:rPr>
          <w:rFonts w:ascii="Arial" w:hAnsi="Arial" w:cs="Arial"/>
          <w:sz w:val="18"/>
          <w:szCs w:val="18"/>
        </w:rPr>
        <w:t xml:space="preserve"> </w:t>
      </w:r>
    </w:p>
  </w:endnote>
  <w:endnote w:id="5">
    <w:p w14:paraId="437FD4AE"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See: </w:t>
      </w:r>
      <w:hyperlink r:id="rId5">
        <w:r>
          <w:rPr>
            <w:rStyle w:val="Hyperlink"/>
            <w:rFonts w:ascii="Arial" w:hAnsi="Arial" w:cs="Arial"/>
            <w:sz w:val="18"/>
            <w:szCs w:val="18"/>
          </w:rPr>
          <w:t>https://www.cpp.edu/president/from-the-president/2020-summer/our-commitment-to-action.shtml</w:t>
        </w:r>
      </w:hyperlink>
      <w:r>
        <w:rPr>
          <w:rFonts w:ascii="Arial" w:hAnsi="Arial" w:cs="Arial"/>
          <w:sz w:val="18"/>
          <w:szCs w:val="18"/>
        </w:rPr>
        <w:t xml:space="preserve"> </w:t>
      </w:r>
    </w:p>
  </w:endnote>
  <w:endnote w:id="6">
    <w:p w14:paraId="1A0F0163"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See: </w:t>
      </w:r>
      <w:hyperlink r:id="rId6">
        <w:r>
          <w:rPr>
            <w:rStyle w:val="Hyperlink"/>
            <w:rFonts w:ascii="Arial" w:hAnsi="Arial" w:cs="Arial"/>
            <w:sz w:val="18"/>
            <w:szCs w:val="18"/>
          </w:rPr>
          <w:t>https://www.cpp.edu/inclusive-excellence/commitment-to-action/index.shtml</w:t>
        </w:r>
      </w:hyperlink>
      <w:r>
        <w:rPr>
          <w:rFonts w:ascii="Arial" w:hAnsi="Arial" w:cs="Arial"/>
          <w:sz w:val="18"/>
          <w:szCs w:val="18"/>
        </w:rPr>
        <w:t xml:space="preserve">. </w:t>
      </w:r>
    </w:p>
  </w:endnote>
  <w:endnote w:id="7">
    <w:p w14:paraId="4CB4F533"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Available at: </w:t>
      </w:r>
      <w:hyperlink r:id="rId7">
        <w:r>
          <w:rPr>
            <w:rStyle w:val="Hyperlink"/>
            <w:rFonts w:ascii="Arial" w:hAnsi="Arial" w:cs="Arial"/>
            <w:sz w:val="18"/>
            <w:szCs w:val="18"/>
          </w:rPr>
          <w:t>https://leginfo.legislature.ca.gov/faces/codes_displaySection.xhtml?lawCode=PEN&amp;sectionNum=832.5</w:t>
        </w:r>
      </w:hyperlink>
      <w:r>
        <w:rPr>
          <w:rFonts w:ascii="Arial" w:hAnsi="Arial" w:cs="Arial"/>
          <w:sz w:val="18"/>
          <w:szCs w:val="18"/>
        </w:rPr>
        <w:t xml:space="preserve">. </w:t>
      </w:r>
    </w:p>
  </w:endnote>
  <w:endnote w:id="8">
    <w:p w14:paraId="552F953F"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“CSU Police Chiefs Pledge to Implement Recommendations from President Obama’s Task Force on 21</w:t>
      </w:r>
      <w:r>
        <w:rPr>
          <w:rFonts w:ascii="Arial" w:hAnsi="Arial" w:cs="Arial"/>
          <w:sz w:val="18"/>
          <w:szCs w:val="18"/>
          <w:vertAlign w:val="superscript"/>
        </w:rPr>
        <w:t>st</w:t>
      </w:r>
      <w:r>
        <w:rPr>
          <w:rFonts w:ascii="Arial" w:hAnsi="Arial" w:cs="Arial"/>
          <w:sz w:val="18"/>
          <w:szCs w:val="18"/>
        </w:rPr>
        <w:t xml:space="preserve"> Century Policing;” available at: </w:t>
      </w:r>
      <w:hyperlink r:id="rId8">
        <w:r>
          <w:rPr>
            <w:rStyle w:val="Hyperlink"/>
            <w:rFonts w:ascii="Arial" w:hAnsi="Arial" w:cs="Arial"/>
            <w:sz w:val="18"/>
            <w:szCs w:val="18"/>
          </w:rPr>
          <w:t>https://www2.calstate.edu/csu-system/news/Pages/CSU-Police-Chiefs-Pledge-to-Implement-Recommendations-from-The-Presidents-Task-Force-on-21st-Century-Policing.aspx</w:t>
        </w:r>
      </w:hyperlink>
      <w:r>
        <w:rPr>
          <w:rFonts w:ascii="Arial" w:hAnsi="Arial" w:cs="Arial"/>
          <w:sz w:val="18"/>
          <w:szCs w:val="18"/>
        </w:rPr>
        <w:t xml:space="preserve">. </w:t>
      </w:r>
    </w:p>
  </w:endnote>
  <w:endnote w:id="9">
    <w:p w14:paraId="1D7D650F"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Full report available at: </w:t>
      </w:r>
      <w:hyperlink r:id="rId9">
        <w:r>
          <w:rPr>
            <w:rStyle w:val="Hyperlink"/>
            <w:rFonts w:ascii="Arial" w:hAnsi="Arial" w:cs="Arial"/>
            <w:sz w:val="18"/>
            <w:szCs w:val="18"/>
          </w:rPr>
          <w:t>https://cops.usdoj.gov/pdf/taskforce/taskforce_finalreport.pdf</w:t>
        </w:r>
      </w:hyperlink>
      <w:r>
        <w:rPr>
          <w:rFonts w:ascii="Arial" w:hAnsi="Arial" w:cs="Arial"/>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AB60" w14:textId="77777777" w:rsidR="00F83DA2" w:rsidRDefault="00F83DA2">
      <w:r>
        <w:separator/>
      </w:r>
    </w:p>
  </w:footnote>
  <w:footnote w:type="continuationSeparator" w:id="0">
    <w:p w14:paraId="3B84005E" w14:textId="77777777" w:rsidR="00F83DA2" w:rsidRDefault="00F83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B326D"/>
    <w:multiLevelType w:val="multilevel"/>
    <w:tmpl w:val="72EAE144"/>
    <w:lvl w:ilvl="0">
      <w:start w:val="1"/>
      <w:numFmt w:val="bullet"/>
      <w:lvlText w:val=""/>
      <w:lvlJc w:val="left"/>
      <w:pPr>
        <w:tabs>
          <w:tab w:val="num" w:pos="0"/>
        </w:tabs>
        <w:ind w:left="2520" w:hanging="360"/>
      </w:pPr>
      <w:rPr>
        <w:rFonts w:ascii="Symbol" w:hAnsi="Symbol" w:cs="Symbol" w:hint="default"/>
      </w:rPr>
    </w:lvl>
    <w:lvl w:ilvl="1">
      <w:start w:val="1"/>
      <w:numFmt w:val="bullet"/>
      <w:lvlText w:val="o"/>
      <w:lvlJc w:val="left"/>
      <w:pPr>
        <w:tabs>
          <w:tab w:val="num" w:pos="0"/>
        </w:tabs>
        <w:ind w:left="3240" w:hanging="360"/>
      </w:pPr>
      <w:rPr>
        <w:rFonts w:ascii="Courier New" w:hAnsi="Courier New" w:cs="Courier New" w:hint="default"/>
      </w:rPr>
    </w:lvl>
    <w:lvl w:ilvl="2">
      <w:start w:val="1"/>
      <w:numFmt w:val="bullet"/>
      <w:lvlText w:val=""/>
      <w:lvlJc w:val="left"/>
      <w:pPr>
        <w:tabs>
          <w:tab w:val="num" w:pos="0"/>
        </w:tabs>
        <w:ind w:left="3960" w:hanging="360"/>
      </w:pPr>
      <w:rPr>
        <w:rFonts w:ascii="Wingdings" w:hAnsi="Wingdings" w:cs="Wingdings" w:hint="default"/>
      </w:rPr>
    </w:lvl>
    <w:lvl w:ilvl="3">
      <w:start w:val="1"/>
      <w:numFmt w:val="bullet"/>
      <w:lvlText w:val=""/>
      <w:lvlJc w:val="left"/>
      <w:pPr>
        <w:tabs>
          <w:tab w:val="num" w:pos="0"/>
        </w:tabs>
        <w:ind w:left="4680" w:hanging="360"/>
      </w:pPr>
      <w:rPr>
        <w:rFonts w:ascii="Symbol" w:hAnsi="Symbol" w:cs="Symbol" w:hint="default"/>
      </w:rPr>
    </w:lvl>
    <w:lvl w:ilvl="4">
      <w:start w:val="1"/>
      <w:numFmt w:val="bullet"/>
      <w:lvlText w:val="o"/>
      <w:lvlJc w:val="left"/>
      <w:pPr>
        <w:tabs>
          <w:tab w:val="num" w:pos="0"/>
        </w:tabs>
        <w:ind w:left="5400" w:hanging="360"/>
      </w:pPr>
      <w:rPr>
        <w:rFonts w:ascii="Courier New" w:hAnsi="Courier New" w:cs="Courier New" w:hint="default"/>
      </w:rPr>
    </w:lvl>
    <w:lvl w:ilvl="5">
      <w:start w:val="1"/>
      <w:numFmt w:val="bullet"/>
      <w:lvlText w:val=""/>
      <w:lvlJc w:val="left"/>
      <w:pPr>
        <w:tabs>
          <w:tab w:val="num" w:pos="0"/>
        </w:tabs>
        <w:ind w:left="6120" w:hanging="360"/>
      </w:pPr>
      <w:rPr>
        <w:rFonts w:ascii="Wingdings" w:hAnsi="Wingdings" w:cs="Wingdings" w:hint="default"/>
      </w:rPr>
    </w:lvl>
    <w:lvl w:ilvl="6">
      <w:start w:val="1"/>
      <w:numFmt w:val="bullet"/>
      <w:lvlText w:val=""/>
      <w:lvlJc w:val="left"/>
      <w:pPr>
        <w:tabs>
          <w:tab w:val="num" w:pos="0"/>
        </w:tabs>
        <w:ind w:left="6840" w:hanging="360"/>
      </w:pPr>
      <w:rPr>
        <w:rFonts w:ascii="Symbol" w:hAnsi="Symbol" w:cs="Symbol" w:hint="default"/>
      </w:rPr>
    </w:lvl>
    <w:lvl w:ilvl="7">
      <w:start w:val="1"/>
      <w:numFmt w:val="bullet"/>
      <w:lvlText w:val="o"/>
      <w:lvlJc w:val="left"/>
      <w:pPr>
        <w:tabs>
          <w:tab w:val="num" w:pos="0"/>
        </w:tabs>
        <w:ind w:left="7560" w:hanging="360"/>
      </w:pPr>
      <w:rPr>
        <w:rFonts w:ascii="Courier New" w:hAnsi="Courier New" w:cs="Courier New" w:hint="default"/>
      </w:rPr>
    </w:lvl>
    <w:lvl w:ilvl="8">
      <w:start w:val="1"/>
      <w:numFmt w:val="bullet"/>
      <w:lvlText w:val=""/>
      <w:lvlJc w:val="left"/>
      <w:pPr>
        <w:tabs>
          <w:tab w:val="num" w:pos="0"/>
        </w:tabs>
        <w:ind w:left="8280" w:hanging="360"/>
      </w:pPr>
      <w:rPr>
        <w:rFonts w:ascii="Wingdings" w:hAnsi="Wingdings" w:cs="Wingdings" w:hint="default"/>
      </w:rPr>
    </w:lvl>
  </w:abstractNum>
  <w:abstractNum w:abstractNumId="1" w15:restartNumberingAfterBreak="0">
    <w:nsid w:val="377846DD"/>
    <w:multiLevelType w:val="multilevel"/>
    <w:tmpl w:val="BDAE4A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NDc2tDA3MQFRSjpKwanFxZn5eSAFhrUAhuL2yywAAAA="/>
  </w:docVars>
  <w:rsids>
    <w:rsidRoot w:val="007A1460"/>
    <w:rsid w:val="00146F50"/>
    <w:rsid w:val="001E6FB9"/>
    <w:rsid w:val="002B3750"/>
    <w:rsid w:val="007A1460"/>
    <w:rsid w:val="00D82214"/>
    <w:rsid w:val="00F83DA2"/>
    <w:rsid w:val="00F92C6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C430"/>
  <w15:docId w15:val="{F4A81772-A41A-4B5E-8CFB-FF0C1A21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6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B36"/>
    <w:rPr>
      <w:color w:val="0563C1" w:themeColor="hyperlink"/>
      <w:u w:val="single"/>
    </w:rPr>
  </w:style>
  <w:style w:type="character" w:styleId="UnresolvedMention">
    <w:name w:val="Unresolved Mention"/>
    <w:basedOn w:val="DefaultParagraphFont"/>
    <w:uiPriority w:val="99"/>
    <w:semiHidden/>
    <w:unhideWhenUsed/>
    <w:qFormat/>
    <w:rsid w:val="00DE4B36"/>
    <w:rPr>
      <w:color w:val="605E5C"/>
      <w:shd w:val="clear" w:color="auto" w:fill="E1DFDD"/>
    </w:rPr>
  </w:style>
  <w:style w:type="character" w:styleId="FollowedHyperlink">
    <w:name w:val="FollowedHyperlink"/>
    <w:basedOn w:val="DefaultParagraphFont"/>
    <w:uiPriority w:val="99"/>
    <w:semiHidden/>
    <w:unhideWhenUsed/>
    <w:rsid w:val="00BC3D79"/>
    <w:rPr>
      <w:color w:val="954F72" w:themeColor="followedHyperlink"/>
      <w:u w:val="single"/>
    </w:rPr>
  </w:style>
  <w:style w:type="character" w:customStyle="1" w:styleId="EndnoteTextChar">
    <w:name w:val="Endnote Text Char"/>
    <w:basedOn w:val="DefaultParagraphFont"/>
    <w:link w:val="EndnoteText"/>
    <w:uiPriority w:val="99"/>
    <w:semiHidden/>
    <w:qFormat/>
    <w:rsid w:val="004731E4"/>
    <w:rPr>
      <w:rFonts w:ascii="Times New Roman" w:eastAsia="Times New Roman" w:hAnsi="Times New Roman" w:cs="Times New Roman"/>
      <w:sz w:val="20"/>
      <w:szCs w:val="20"/>
    </w:rPr>
  </w:style>
  <w:style w:type="character" w:customStyle="1" w:styleId="EndnoteCharacters">
    <w:name w:val="Endnote Characters"/>
    <w:basedOn w:val="DefaultParagraphFont"/>
    <w:uiPriority w:val="99"/>
    <w:semiHidden/>
    <w:unhideWhenUsed/>
    <w:qFormat/>
    <w:rsid w:val="004731E4"/>
    <w:rPr>
      <w:vertAlign w:val="superscript"/>
    </w:rPr>
  </w:style>
  <w:style w:type="character" w:customStyle="1" w:styleId="EndnoteAnchor">
    <w:name w:val="Endnote Anchor"/>
    <w:rPr>
      <w:vertAlign w:val="superscript"/>
    </w:rPr>
  </w:style>
  <w:style w:type="character" w:customStyle="1" w:styleId="FootnoteTextChar">
    <w:name w:val="Footnote Text Char"/>
    <w:basedOn w:val="DefaultParagraphFont"/>
    <w:link w:val="FootnoteText"/>
    <w:uiPriority w:val="99"/>
    <w:semiHidden/>
    <w:qFormat/>
    <w:rsid w:val="000933E9"/>
    <w:rPr>
      <w:rFonts w:ascii="Times New Roman" w:eastAsia="Times New Roman" w:hAnsi="Times New Roman" w:cs="Times New Roman"/>
      <w:sz w:val="20"/>
      <w:szCs w:val="20"/>
    </w:rPr>
  </w:style>
  <w:style w:type="character" w:customStyle="1" w:styleId="FootnoteCharacters">
    <w:name w:val="Footnote Characters"/>
    <w:basedOn w:val="DefaultParagraphFont"/>
    <w:uiPriority w:val="99"/>
    <w:semiHidden/>
    <w:unhideWhenUsed/>
    <w:qFormat/>
    <w:rsid w:val="000933E9"/>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22305F"/>
    <w:rPr>
      <w:rFonts w:ascii="Times New Roman" w:eastAsia="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660597"/>
    <w:pPr>
      <w:ind w:left="720"/>
      <w:contextualSpacing/>
    </w:pPr>
  </w:style>
  <w:style w:type="paragraph" w:styleId="EndnoteText">
    <w:name w:val="endnote text"/>
    <w:basedOn w:val="Normal"/>
    <w:link w:val="EndnoteTextChar"/>
    <w:uiPriority w:val="99"/>
    <w:semiHidden/>
    <w:unhideWhenUsed/>
    <w:rsid w:val="004731E4"/>
    <w:rPr>
      <w:sz w:val="20"/>
      <w:szCs w:val="20"/>
    </w:rPr>
  </w:style>
  <w:style w:type="paragraph" w:styleId="FootnoteText">
    <w:name w:val="footnote text"/>
    <w:basedOn w:val="Normal"/>
    <w:link w:val="FootnoteTextChar"/>
    <w:uiPriority w:val="99"/>
    <w:semiHidden/>
    <w:unhideWhenUsed/>
    <w:rsid w:val="000933E9"/>
    <w:rPr>
      <w:sz w:val="20"/>
      <w:szCs w:val="20"/>
    </w:rPr>
  </w:style>
  <w:style w:type="paragraph" w:styleId="BalloonText">
    <w:name w:val="Balloon Text"/>
    <w:basedOn w:val="Normal"/>
    <w:link w:val="BalloonTextChar"/>
    <w:uiPriority w:val="99"/>
    <w:semiHidden/>
    <w:unhideWhenUsed/>
    <w:qFormat/>
    <w:rsid w:val="002230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astpagekillsreader.medium.com/i-reported-a-crime-and-ended-up-being-accused-of-one-366388d41422" TargetMode="External"/><Relationship Id="rId13" Type="http://schemas.openxmlformats.org/officeDocument/2006/relationships/hyperlink" Target="https://leginfo.legislature.ca.gov/faces/codes_displaySection.xhtml?lawCode=PEN&amp;sectionNum=832.5." TargetMode="External"/><Relationship Id="rId3" Type="http://schemas.openxmlformats.org/officeDocument/2006/relationships/settings" Target="settings.xml"/><Relationship Id="rId7" Type="http://schemas.openxmlformats.org/officeDocument/2006/relationships/hyperlink" Target="https://www.cpp.edu/senate/documents/resolutions/resolution_anti-racism_final.pdf" TargetMode="External"/><Relationship Id="rId12" Type="http://schemas.openxmlformats.org/officeDocument/2006/relationships/hyperlink" Target="https://www.cpp.edu/inclusive-excellence/commitment-to-action/index.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p.edu/president/from-the-president/2020-summer/our-commitment-to-action.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pp.edu/student-affairs/patf.shtml" TargetMode="External"/><Relationship Id="rId4" Type="http://schemas.openxmlformats.org/officeDocument/2006/relationships/webSettings" Target="webSettings.xml"/><Relationship Id="rId9" Type="http://schemas.openxmlformats.org/officeDocument/2006/relationships/hyperlink" Target="https://thepolypost.com/news/2021/03/09/my-story-matters-a-student-voice-series-4/" TargetMode="External"/><Relationship Id="rId14" Type="http://schemas.openxmlformats.org/officeDocument/2006/relationships/hyperlink" Target="https://cops.usdoj.gov/pdf/taskforce/taskforce_finalreport.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2.calstate.edu/csu-system/news/Pages/CSU-Police-Chiefs-Pledge-to-Implement-Recommendations-from-The-Presidents-Task-Force-on-21st-Century-Policing.aspx" TargetMode="External"/><Relationship Id="rId3" Type="http://schemas.openxmlformats.org/officeDocument/2006/relationships/hyperlink" Target="https://thepolypost.com/news/2021/03/09/my-story-matters-a-student-voice-series-4/" TargetMode="External"/><Relationship Id="rId7" Type="http://schemas.openxmlformats.org/officeDocument/2006/relationships/hyperlink" Target="https://leginfo.legislature.ca.gov/faces/codes_displaySection.xhtml?lawCode=PEN&amp;sectionNum=832.5" TargetMode="External"/><Relationship Id="rId2" Type="http://schemas.openxmlformats.org/officeDocument/2006/relationships/hyperlink" Target="https://lastpagekillsreader.medium.com/i-reported-a-crime-and-ended-up-being-accused-of-one-366388d41422" TargetMode="External"/><Relationship Id="rId1" Type="http://schemas.openxmlformats.org/officeDocument/2006/relationships/hyperlink" Target="https://www.cpp.edu/senate/documents/resolutions/resolution_anti-racism_final.pdf" TargetMode="External"/><Relationship Id="rId6" Type="http://schemas.openxmlformats.org/officeDocument/2006/relationships/hyperlink" Target="https://www.cpp.edu/inclusive-excellence/commitment-to-action/index.shtml" TargetMode="External"/><Relationship Id="rId5" Type="http://schemas.openxmlformats.org/officeDocument/2006/relationships/hyperlink" Target="https://www.cpp.edu/president/from-the-president/2020-summer/our-commitment-to-action.shtml" TargetMode="External"/><Relationship Id="rId4" Type="http://schemas.openxmlformats.org/officeDocument/2006/relationships/hyperlink" Target="https://www.cpp.edu/student-affairs/patf.shtml" TargetMode="External"/><Relationship Id="rId9" Type="http://schemas.openxmlformats.org/officeDocument/2006/relationships/hyperlink" Target="https://cops.usdoj.gov/pdf/taskforce/taskforce_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Corwin S Aragon</dc:creator>
  <dc:description/>
  <cp:lastModifiedBy>ubcpp@outlook.com</cp:lastModifiedBy>
  <cp:revision>2</cp:revision>
  <dcterms:created xsi:type="dcterms:W3CDTF">2021-05-05T20:29:00Z</dcterms:created>
  <dcterms:modified xsi:type="dcterms:W3CDTF">2021-05-05T20:29:00Z</dcterms:modified>
  <dc:language>en-US</dc:language>
</cp:coreProperties>
</file>