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79A6A" w14:textId="08080E1E" w:rsidR="000F0597" w:rsidRDefault="004B3642" w:rsidP="006F6B41">
      <w:pPr>
        <w:spacing w:after="0" w:line="240" w:lineRule="auto"/>
        <w:jc w:val="both"/>
      </w:pPr>
      <w:r w:rsidRPr="004B3642">
        <w:t>February 9, 2021</w:t>
      </w:r>
    </w:p>
    <w:p w14:paraId="3DF49945" w14:textId="31053F8B" w:rsidR="007A73F9" w:rsidRDefault="007A73F9" w:rsidP="006F6B41">
      <w:pPr>
        <w:spacing w:after="0" w:line="240" w:lineRule="auto"/>
        <w:jc w:val="both"/>
      </w:pPr>
      <w:r>
        <w:t>Subject: Class Student Evaluations Administered during Academic Year 2020-21</w:t>
      </w:r>
    </w:p>
    <w:p w14:paraId="59340720" w14:textId="30B3DED4" w:rsidR="007A73F9" w:rsidRDefault="007A73F9" w:rsidP="006F6B41">
      <w:pPr>
        <w:pBdr>
          <w:bottom w:val="single" w:sz="4" w:space="1" w:color="auto"/>
        </w:pBdr>
        <w:spacing w:after="0" w:line="240" w:lineRule="auto"/>
        <w:jc w:val="both"/>
      </w:pPr>
      <w:r>
        <w:t>Distribution: PAF, DRTPC Chairs, Department Chair</w:t>
      </w:r>
      <w:r w:rsidR="009B5162">
        <w:t>s</w:t>
      </w:r>
      <w:r>
        <w:t>, Associate Deans, Deans, CRTPC Chairs, URTPC</w:t>
      </w:r>
    </w:p>
    <w:p w14:paraId="1D86BF9F" w14:textId="77777777" w:rsidR="007A73F9" w:rsidRDefault="007A73F9" w:rsidP="006F6B41">
      <w:pPr>
        <w:spacing w:after="0" w:line="240" w:lineRule="auto"/>
        <w:jc w:val="both"/>
      </w:pPr>
    </w:p>
    <w:p w14:paraId="543634D4" w14:textId="2D227246" w:rsidR="00B460F7" w:rsidRDefault="00B460F7" w:rsidP="006F6B41">
      <w:pPr>
        <w:spacing w:after="0" w:line="240" w:lineRule="auto"/>
        <w:jc w:val="both"/>
      </w:pPr>
      <w:r>
        <w:t>Dear Reviewer</w:t>
      </w:r>
      <w:r w:rsidR="00FA4323">
        <w:t>:</w:t>
      </w:r>
    </w:p>
    <w:p w14:paraId="256EE630" w14:textId="77777777" w:rsidR="006F6B41" w:rsidRDefault="006F6B41" w:rsidP="006F6B41">
      <w:pPr>
        <w:spacing w:after="0" w:line="240" w:lineRule="auto"/>
        <w:jc w:val="both"/>
      </w:pPr>
    </w:p>
    <w:p w14:paraId="747ED296" w14:textId="659740AA" w:rsidR="00B460F7" w:rsidRDefault="00BE5E03" w:rsidP="006F6B41">
      <w:pPr>
        <w:spacing w:after="0" w:line="240" w:lineRule="auto"/>
        <w:jc w:val="both"/>
      </w:pPr>
      <w:r>
        <w:t xml:space="preserve">The </w:t>
      </w:r>
      <w:r w:rsidR="00B460F7">
        <w:t xml:space="preserve">global </w:t>
      </w:r>
      <w:r w:rsidR="00CD60F0">
        <w:t xml:space="preserve">coronavirus </w:t>
      </w:r>
      <w:r w:rsidR="00B460F7">
        <w:t xml:space="preserve">pandemic </w:t>
      </w:r>
      <w:r w:rsidR="00CD60F0">
        <w:t xml:space="preserve">(COVID-19) </w:t>
      </w:r>
      <w:r w:rsidR="00B460F7">
        <w:t xml:space="preserve">has had a profound and deep impact on our </w:t>
      </w:r>
      <w:r w:rsidR="00263C03">
        <w:t xml:space="preserve">professional and personal </w:t>
      </w:r>
      <w:r w:rsidR="00B460F7">
        <w:t>lives.</w:t>
      </w:r>
      <w:r w:rsidR="00FA4323">
        <w:t xml:space="preserve"> </w:t>
      </w:r>
      <w:r w:rsidR="00B460F7">
        <w:t xml:space="preserve">In March 2020, Cal Poly Pomona </w:t>
      </w:r>
      <w:r w:rsidR="00242A38">
        <w:t>rapidly</w:t>
      </w:r>
      <w:r w:rsidR="00B460F7">
        <w:t xml:space="preserve"> moved </w:t>
      </w:r>
      <w:r w:rsidR="00444A2F">
        <w:t>its</w:t>
      </w:r>
      <w:r w:rsidR="00B460F7">
        <w:t xml:space="preserve"> spring class</w:t>
      </w:r>
      <w:r w:rsidR="00444A2F">
        <w:t>es</w:t>
      </w:r>
      <w:r w:rsidR="00B460F7">
        <w:t xml:space="preserve"> to virtual instruction to </w:t>
      </w:r>
      <w:r w:rsidR="00242A38">
        <w:t>ensure</w:t>
      </w:r>
      <w:r w:rsidR="00B460F7">
        <w:t xml:space="preserve"> the </w:t>
      </w:r>
      <w:r w:rsidR="00242A38">
        <w:t xml:space="preserve">safety, </w:t>
      </w:r>
      <w:r w:rsidR="00B460F7">
        <w:t>health</w:t>
      </w:r>
      <w:r w:rsidR="00242A38">
        <w:t xml:space="preserve">, </w:t>
      </w:r>
      <w:r w:rsidR="00B460F7">
        <w:t xml:space="preserve">and </w:t>
      </w:r>
      <w:r w:rsidR="00242A38">
        <w:t>well-being</w:t>
      </w:r>
      <w:r w:rsidR="00B460F7">
        <w:t xml:space="preserve"> of our campus community.</w:t>
      </w:r>
      <w:r w:rsidR="00FA4323">
        <w:t xml:space="preserve"> </w:t>
      </w:r>
      <w:r w:rsidR="00B460F7">
        <w:t xml:space="preserve">In summer 2020, </w:t>
      </w:r>
      <w:r w:rsidR="00804466">
        <w:t xml:space="preserve">we offered </w:t>
      </w:r>
      <w:r w:rsidR="00B460F7">
        <w:t xml:space="preserve">a suite of online and distance education training programs designed to better prepare </w:t>
      </w:r>
      <w:r w:rsidR="00A817E8">
        <w:t>faculty</w:t>
      </w:r>
      <w:r w:rsidR="00B460F7">
        <w:t xml:space="preserve"> to be </w:t>
      </w:r>
      <w:r w:rsidR="00A817E8">
        <w:t xml:space="preserve">more </w:t>
      </w:r>
      <w:r w:rsidR="00B460F7">
        <w:t>effective teachers in online education.</w:t>
      </w:r>
      <w:r w:rsidR="00FA4323">
        <w:t xml:space="preserve"> </w:t>
      </w:r>
      <w:r w:rsidR="00804466">
        <w:t xml:space="preserve">Nearly 80 percent of the faculty </w:t>
      </w:r>
      <w:r w:rsidR="00444A2F">
        <w:t>(tenure-</w:t>
      </w:r>
      <w:r w:rsidR="005402D7">
        <w:t>line</w:t>
      </w:r>
      <w:r w:rsidR="00444A2F">
        <w:t xml:space="preserve"> and lecturers) </w:t>
      </w:r>
      <w:r w:rsidR="00804466">
        <w:t>participated in one or more of these training programs.</w:t>
      </w:r>
      <w:r w:rsidR="00FA4323">
        <w:t xml:space="preserve"> </w:t>
      </w:r>
      <w:r w:rsidR="00A817E8">
        <w:t xml:space="preserve">Currently, in </w:t>
      </w:r>
      <w:r w:rsidR="00763867">
        <w:t xml:space="preserve">academic year </w:t>
      </w:r>
      <w:r w:rsidR="00A817E8">
        <w:t xml:space="preserve">2020-21, </w:t>
      </w:r>
      <w:r w:rsidR="007F0940">
        <w:t>w</w:t>
      </w:r>
      <w:r w:rsidR="00B460F7">
        <w:t xml:space="preserve">e continue to offer </w:t>
      </w:r>
      <w:r w:rsidR="00766B11">
        <w:t xml:space="preserve">a predominately online and virtual </w:t>
      </w:r>
      <w:r w:rsidR="00C00BE3">
        <w:t>class schedule and</w:t>
      </w:r>
      <w:r>
        <w:t xml:space="preserve">, in addition, </w:t>
      </w:r>
      <w:r w:rsidR="00C00BE3">
        <w:t>most of the campus continues to work remotely.</w:t>
      </w:r>
    </w:p>
    <w:p w14:paraId="465E276F" w14:textId="77777777" w:rsidR="006F6B41" w:rsidRDefault="006F6B41" w:rsidP="006F6B41">
      <w:pPr>
        <w:spacing w:after="0" w:line="240" w:lineRule="auto"/>
        <w:jc w:val="both"/>
      </w:pPr>
    </w:p>
    <w:p w14:paraId="1ED68384" w14:textId="3E1701C6" w:rsidR="00B01008" w:rsidRDefault="00B460F7" w:rsidP="006F6B41">
      <w:pPr>
        <w:spacing w:after="0" w:line="240" w:lineRule="auto"/>
        <w:jc w:val="both"/>
      </w:pPr>
      <w:r>
        <w:t xml:space="preserve">I </w:t>
      </w:r>
      <w:r w:rsidR="00B01008">
        <w:t xml:space="preserve">recognize </w:t>
      </w:r>
      <w:r w:rsidR="00AF0CEA">
        <w:t xml:space="preserve">and appreciate </w:t>
      </w:r>
      <w:r w:rsidR="00B01008">
        <w:t xml:space="preserve">the determination and resiliency of </w:t>
      </w:r>
      <w:r w:rsidR="007B1AFD">
        <w:t>Cal Poly Pomona</w:t>
      </w:r>
      <w:r w:rsidR="00B01008">
        <w:t xml:space="preserve"> faculty during these extraordinary times.</w:t>
      </w:r>
      <w:r w:rsidR="00FA4323">
        <w:t xml:space="preserve"> </w:t>
      </w:r>
      <w:r w:rsidR="00E936D3" w:rsidRPr="00E936D3">
        <w:t>I understand that the remote teaching and learning environment created by COVID-19 requires that faculty apply new and innovative pedagogic approaches in an iterative manner to achieve the quality instruction they expect of themselves and aligned with the high-quality inclusive polytechnic educational experience we provide to our students.</w:t>
      </w:r>
      <w:r w:rsidR="00E936D3">
        <w:t xml:space="preserve"> </w:t>
      </w:r>
      <w:r w:rsidR="007F0D06">
        <w:t>I</w:t>
      </w:r>
      <w:r>
        <w:t xml:space="preserve"> acknowledge concerns raised by some faculty regarding the potential negative impact</w:t>
      </w:r>
      <w:r w:rsidR="007F0D06">
        <w:t xml:space="preserve"> the shift to virtual instruction </w:t>
      </w:r>
      <w:r w:rsidR="008F0DCC">
        <w:t>back in March</w:t>
      </w:r>
      <w:r w:rsidR="007F0D06">
        <w:t xml:space="preserve"> had </w:t>
      </w:r>
      <w:r>
        <w:t xml:space="preserve">on their </w:t>
      </w:r>
      <w:r w:rsidR="00B01008">
        <w:t xml:space="preserve">teaching effectiveness and scholarship. The purpose of this letter is to ask </w:t>
      </w:r>
      <w:r w:rsidR="00763867">
        <w:t xml:space="preserve">that </w:t>
      </w:r>
      <w:r w:rsidR="00B01008">
        <w:t>you</w:t>
      </w:r>
      <w:r w:rsidR="00763867">
        <w:t>, as</w:t>
      </w:r>
      <w:r w:rsidR="005402D7">
        <w:t xml:space="preserve"> </w:t>
      </w:r>
      <w:r w:rsidR="00763867">
        <w:t>reviewer/evaluator,</w:t>
      </w:r>
      <w:r w:rsidR="00B01008">
        <w:t xml:space="preserve"> </w:t>
      </w:r>
      <w:r w:rsidR="00CD422D">
        <w:t xml:space="preserve">take a holistic evaluation approach </w:t>
      </w:r>
      <w:r w:rsidR="00242A38">
        <w:t>and</w:t>
      </w:r>
      <w:r w:rsidR="00B01008">
        <w:t xml:space="preserve"> consider the </w:t>
      </w:r>
      <w:r w:rsidR="007F0D06">
        <w:t>impact</w:t>
      </w:r>
      <w:r w:rsidR="00B01008">
        <w:t xml:space="preserve"> </w:t>
      </w:r>
      <w:r w:rsidR="00BE5E03">
        <w:t>of transition</w:t>
      </w:r>
      <w:r w:rsidR="007F0D06">
        <w:t xml:space="preserve"> to </w:t>
      </w:r>
      <w:r w:rsidR="00B01008">
        <w:t xml:space="preserve">remote </w:t>
      </w:r>
      <w:r w:rsidR="00C00BE3">
        <w:t xml:space="preserve">and virtual </w:t>
      </w:r>
      <w:r w:rsidR="00B01008">
        <w:t>learning</w:t>
      </w:r>
      <w:r w:rsidR="004B3642">
        <w:t>, abrupt implementation of online student evaluations of teaching,</w:t>
      </w:r>
      <w:r w:rsidR="00B01008">
        <w:t xml:space="preserve"> </w:t>
      </w:r>
      <w:r w:rsidR="007F0D06">
        <w:t xml:space="preserve">and </w:t>
      </w:r>
      <w:r w:rsidR="00B01008">
        <w:t xml:space="preserve">restricted access to the campus on </w:t>
      </w:r>
      <w:r w:rsidR="007F0D06">
        <w:t>the faculty</w:t>
      </w:r>
      <w:r w:rsidR="004F0FBD">
        <w:t xml:space="preserve"> </w:t>
      </w:r>
      <w:r w:rsidR="00242A38">
        <w:t xml:space="preserve">whose performance </w:t>
      </w:r>
      <w:r w:rsidR="004F0FBD">
        <w:t>you are reviewing</w:t>
      </w:r>
      <w:r w:rsidR="00242A38">
        <w:t>,</w:t>
      </w:r>
      <w:r w:rsidR="008F0DCC">
        <w:t xml:space="preserve"> as part of established campus review processes</w:t>
      </w:r>
      <w:r w:rsidR="007F0D06">
        <w:t>.</w:t>
      </w:r>
    </w:p>
    <w:p w14:paraId="31338492" w14:textId="77777777" w:rsidR="006F6B41" w:rsidRDefault="006F6B41" w:rsidP="006F6B41">
      <w:pPr>
        <w:spacing w:after="0" w:line="240" w:lineRule="auto"/>
        <w:jc w:val="both"/>
      </w:pPr>
    </w:p>
    <w:p w14:paraId="71650DAE" w14:textId="273FBA8E" w:rsidR="001867AF" w:rsidRDefault="001867AF" w:rsidP="006F6B41">
      <w:pPr>
        <w:spacing w:after="0" w:line="240" w:lineRule="auto"/>
        <w:jc w:val="both"/>
      </w:pPr>
      <w:r w:rsidRPr="001867AF">
        <w:t xml:space="preserve">I concur with the faculty contract (Unit 3 Collective Bargaining Agreement) that student ratings of teaching effectiveness should not be used as the sole basis to assess teaching effectiveness. However, acknowledging the impact of COVID-19, I would like to offer our faculty flexibility if they believe the teaching evaluations obtained during academic year 2020-21 do not correctly reflect their teaching effectiveness and commitment to quality education. To be in full compliance with the faculty contract and as governed by campus Policy 1329 (Student Evaluation of Teaching), student evaluations of all classes taught during academic year 2020-21 shall be placed in the faculty member’s personnel action file (PAF). For review purposes, faculty members must include student evaluations for at least 50% (rounded up) of the class sections taught </w:t>
      </w:r>
      <w:r w:rsidR="004B3642">
        <w:t>each</w:t>
      </w:r>
      <w:r w:rsidRPr="001867AF">
        <w:t xml:space="preserve"> term</w:t>
      </w:r>
      <w:r>
        <w:t xml:space="preserve"> (Fall 2020 and Spring 2021)</w:t>
      </w:r>
      <w:r w:rsidRPr="001867AF">
        <w:t xml:space="preserve">. </w:t>
      </w:r>
      <w:r w:rsidR="00FE6E84">
        <w:t xml:space="preserve">However, in the spirit of continuous improvement and to </w:t>
      </w:r>
      <w:r w:rsidR="00D90FFB" w:rsidRPr="00D90FFB">
        <w:t xml:space="preserve">identify strategies </w:t>
      </w:r>
      <w:r w:rsidR="00FE6E84">
        <w:t>that support effective</w:t>
      </w:r>
      <w:r w:rsidR="00D90FFB" w:rsidRPr="00D90FFB">
        <w:t xml:space="preserve"> online teaching and learning, faculty are strongly encouraged to reflect on all of their student evaluations.</w:t>
      </w:r>
      <w:r w:rsidR="00D90FFB">
        <w:t xml:space="preserve"> </w:t>
      </w:r>
      <w:r w:rsidRPr="001867AF">
        <w:t>For clarity, the table below shows the minimum number of student evaluations that must be included.</w:t>
      </w:r>
    </w:p>
    <w:p w14:paraId="19E01DF7" w14:textId="4D1ADB6B" w:rsidR="001867AF" w:rsidRDefault="001867AF" w:rsidP="006F6B41">
      <w:pPr>
        <w:spacing w:after="0" w:line="240" w:lineRule="auto"/>
        <w:jc w:val="both"/>
      </w:pPr>
    </w:p>
    <w:tbl>
      <w:tblPr>
        <w:tblStyle w:val="TableGrid"/>
        <w:tblW w:w="0" w:type="auto"/>
        <w:tblLook w:val="04A0" w:firstRow="1" w:lastRow="0" w:firstColumn="1" w:lastColumn="0" w:noHBand="0" w:noVBand="1"/>
      </w:tblPr>
      <w:tblGrid>
        <w:gridCol w:w="4963"/>
        <w:gridCol w:w="4963"/>
      </w:tblGrid>
      <w:tr w:rsidR="00EB6988" w:rsidRPr="00EB6988" w14:paraId="3DD60622" w14:textId="77777777" w:rsidTr="00EB6988">
        <w:tc>
          <w:tcPr>
            <w:tcW w:w="4963" w:type="dxa"/>
            <w:shd w:val="clear" w:color="auto" w:fill="D9D9D9" w:themeFill="background1" w:themeFillShade="D9"/>
            <w:vAlign w:val="center"/>
          </w:tcPr>
          <w:p w14:paraId="74F02FB9" w14:textId="77777777" w:rsidR="00EB6988" w:rsidRPr="00EB6988" w:rsidRDefault="00EB6988" w:rsidP="00EB6988">
            <w:pPr>
              <w:jc w:val="center"/>
              <w:rPr>
                <w:b/>
                <w:bCs/>
                <w:sz w:val="20"/>
                <w:szCs w:val="20"/>
              </w:rPr>
            </w:pPr>
            <w:r w:rsidRPr="00EB6988">
              <w:rPr>
                <w:b/>
                <w:bCs/>
                <w:sz w:val="20"/>
                <w:szCs w:val="20"/>
              </w:rPr>
              <w:t>Number of Class Sections Taught</w:t>
            </w:r>
          </w:p>
          <w:p w14:paraId="345A3E13" w14:textId="7FB26746" w:rsidR="00EB6988" w:rsidRPr="00EB6988" w:rsidRDefault="00EB6988" w:rsidP="00EB6988">
            <w:pPr>
              <w:jc w:val="center"/>
              <w:rPr>
                <w:sz w:val="20"/>
                <w:szCs w:val="20"/>
              </w:rPr>
            </w:pPr>
            <w:r w:rsidRPr="00EB6988">
              <w:rPr>
                <w:b/>
                <w:bCs/>
                <w:sz w:val="20"/>
                <w:szCs w:val="20"/>
              </w:rPr>
              <w:t>(</w:t>
            </w:r>
            <w:r w:rsidR="004B3642">
              <w:rPr>
                <w:b/>
                <w:bCs/>
                <w:sz w:val="20"/>
                <w:szCs w:val="20"/>
              </w:rPr>
              <w:t>each</w:t>
            </w:r>
            <w:r w:rsidRPr="00EB6988">
              <w:rPr>
                <w:b/>
                <w:bCs/>
                <w:sz w:val="20"/>
                <w:szCs w:val="20"/>
              </w:rPr>
              <w:t xml:space="preserve"> Semester)</w:t>
            </w:r>
          </w:p>
        </w:tc>
        <w:tc>
          <w:tcPr>
            <w:tcW w:w="4963" w:type="dxa"/>
            <w:shd w:val="clear" w:color="auto" w:fill="D9D9D9" w:themeFill="background1" w:themeFillShade="D9"/>
            <w:vAlign w:val="center"/>
          </w:tcPr>
          <w:p w14:paraId="3527B20A" w14:textId="77777777" w:rsidR="00EB6988" w:rsidRPr="00EB6988" w:rsidRDefault="00EB6988" w:rsidP="00EB6988">
            <w:pPr>
              <w:jc w:val="center"/>
              <w:rPr>
                <w:b/>
                <w:bCs/>
                <w:sz w:val="20"/>
                <w:szCs w:val="20"/>
              </w:rPr>
            </w:pPr>
            <w:r w:rsidRPr="00EB6988">
              <w:rPr>
                <w:b/>
                <w:bCs/>
                <w:sz w:val="20"/>
                <w:szCs w:val="20"/>
              </w:rPr>
              <w:t>Minimum Number of Evaluations to Include in Faculty Periodic Evaluations or Performance Reviews</w:t>
            </w:r>
          </w:p>
          <w:p w14:paraId="050C2437" w14:textId="7BD01029" w:rsidR="00EB6988" w:rsidRPr="00EB6988" w:rsidRDefault="00EB6988" w:rsidP="00EB6988">
            <w:pPr>
              <w:jc w:val="center"/>
              <w:rPr>
                <w:sz w:val="20"/>
                <w:szCs w:val="20"/>
              </w:rPr>
            </w:pPr>
            <w:r w:rsidRPr="00EB6988">
              <w:rPr>
                <w:b/>
                <w:bCs/>
                <w:sz w:val="20"/>
                <w:szCs w:val="20"/>
              </w:rPr>
              <w:t>(</w:t>
            </w:r>
            <w:r w:rsidR="004B3642">
              <w:rPr>
                <w:b/>
                <w:bCs/>
                <w:sz w:val="20"/>
                <w:szCs w:val="20"/>
              </w:rPr>
              <w:t>each</w:t>
            </w:r>
            <w:r w:rsidRPr="00EB6988">
              <w:rPr>
                <w:b/>
                <w:bCs/>
                <w:sz w:val="20"/>
                <w:szCs w:val="20"/>
              </w:rPr>
              <w:t xml:space="preserve"> Semester)</w:t>
            </w:r>
          </w:p>
        </w:tc>
      </w:tr>
      <w:tr w:rsidR="00EB6988" w:rsidRPr="00EB6988" w14:paraId="58BC90B6" w14:textId="77777777" w:rsidTr="00EB6988">
        <w:tc>
          <w:tcPr>
            <w:tcW w:w="4963" w:type="dxa"/>
            <w:vAlign w:val="center"/>
          </w:tcPr>
          <w:p w14:paraId="56B60A03" w14:textId="0DD1595D" w:rsidR="00EB6988" w:rsidRPr="00EB6988" w:rsidRDefault="00EB6988" w:rsidP="00EB6988">
            <w:pPr>
              <w:jc w:val="center"/>
              <w:rPr>
                <w:sz w:val="20"/>
                <w:szCs w:val="20"/>
              </w:rPr>
            </w:pPr>
            <w:r w:rsidRPr="00EB6988">
              <w:rPr>
                <w:sz w:val="20"/>
                <w:szCs w:val="20"/>
              </w:rPr>
              <w:t>1</w:t>
            </w:r>
          </w:p>
        </w:tc>
        <w:tc>
          <w:tcPr>
            <w:tcW w:w="4963" w:type="dxa"/>
            <w:vAlign w:val="center"/>
          </w:tcPr>
          <w:p w14:paraId="20AAEFC1" w14:textId="335DFDF5" w:rsidR="00EB6988" w:rsidRPr="00EB6988" w:rsidRDefault="00EB6988" w:rsidP="00EB6988">
            <w:pPr>
              <w:jc w:val="center"/>
              <w:rPr>
                <w:sz w:val="20"/>
                <w:szCs w:val="20"/>
              </w:rPr>
            </w:pPr>
            <w:r w:rsidRPr="00EB6988">
              <w:rPr>
                <w:sz w:val="20"/>
                <w:szCs w:val="20"/>
              </w:rPr>
              <w:t>1</w:t>
            </w:r>
          </w:p>
        </w:tc>
      </w:tr>
      <w:tr w:rsidR="00EB6988" w:rsidRPr="00EB6988" w14:paraId="7FAC620F" w14:textId="77777777" w:rsidTr="00EB6988">
        <w:tc>
          <w:tcPr>
            <w:tcW w:w="4963" w:type="dxa"/>
            <w:vAlign w:val="center"/>
          </w:tcPr>
          <w:p w14:paraId="5508688A" w14:textId="37E46A2F" w:rsidR="00EB6988" w:rsidRPr="00EB6988" w:rsidRDefault="00EB6988" w:rsidP="00EB6988">
            <w:pPr>
              <w:jc w:val="center"/>
              <w:rPr>
                <w:sz w:val="20"/>
                <w:szCs w:val="20"/>
              </w:rPr>
            </w:pPr>
            <w:r w:rsidRPr="00EB6988">
              <w:rPr>
                <w:sz w:val="20"/>
                <w:szCs w:val="20"/>
              </w:rPr>
              <w:t>2</w:t>
            </w:r>
          </w:p>
        </w:tc>
        <w:tc>
          <w:tcPr>
            <w:tcW w:w="4963" w:type="dxa"/>
            <w:vAlign w:val="center"/>
          </w:tcPr>
          <w:p w14:paraId="3E9F487B" w14:textId="50CA602B" w:rsidR="00EB6988" w:rsidRPr="00EB6988" w:rsidRDefault="00EB6988" w:rsidP="00EB6988">
            <w:pPr>
              <w:jc w:val="center"/>
              <w:rPr>
                <w:sz w:val="20"/>
                <w:szCs w:val="20"/>
              </w:rPr>
            </w:pPr>
            <w:r w:rsidRPr="00EB6988">
              <w:rPr>
                <w:sz w:val="20"/>
                <w:szCs w:val="20"/>
              </w:rPr>
              <w:t>1</w:t>
            </w:r>
          </w:p>
        </w:tc>
      </w:tr>
      <w:tr w:rsidR="00EB6988" w:rsidRPr="00EB6988" w14:paraId="166086F5" w14:textId="77777777" w:rsidTr="00EB6988">
        <w:tc>
          <w:tcPr>
            <w:tcW w:w="4963" w:type="dxa"/>
            <w:vAlign w:val="center"/>
          </w:tcPr>
          <w:p w14:paraId="133ACF51" w14:textId="7ED83C51" w:rsidR="00EB6988" w:rsidRPr="00EB6988" w:rsidRDefault="00EB6988" w:rsidP="00EB6988">
            <w:pPr>
              <w:jc w:val="center"/>
              <w:rPr>
                <w:sz w:val="20"/>
                <w:szCs w:val="20"/>
              </w:rPr>
            </w:pPr>
            <w:r w:rsidRPr="00EB6988">
              <w:rPr>
                <w:sz w:val="20"/>
                <w:szCs w:val="20"/>
              </w:rPr>
              <w:t>3</w:t>
            </w:r>
          </w:p>
        </w:tc>
        <w:tc>
          <w:tcPr>
            <w:tcW w:w="4963" w:type="dxa"/>
            <w:vAlign w:val="center"/>
          </w:tcPr>
          <w:p w14:paraId="522FFF43" w14:textId="488EE271" w:rsidR="00EB6988" w:rsidRPr="00EB6988" w:rsidRDefault="00EB6988" w:rsidP="00EB6988">
            <w:pPr>
              <w:jc w:val="center"/>
              <w:rPr>
                <w:sz w:val="20"/>
                <w:szCs w:val="20"/>
              </w:rPr>
            </w:pPr>
            <w:r w:rsidRPr="00EB6988">
              <w:rPr>
                <w:sz w:val="20"/>
                <w:szCs w:val="20"/>
              </w:rPr>
              <w:t>2</w:t>
            </w:r>
          </w:p>
        </w:tc>
      </w:tr>
      <w:tr w:rsidR="00EB6988" w:rsidRPr="00EB6988" w14:paraId="38B0DEE4" w14:textId="77777777" w:rsidTr="00EB6988">
        <w:tc>
          <w:tcPr>
            <w:tcW w:w="4963" w:type="dxa"/>
            <w:vAlign w:val="center"/>
          </w:tcPr>
          <w:p w14:paraId="102621C6" w14:textId="2C91DBFF" w:rsidR="00EB6988" w:rsidRPr="00EB6988" w:rsidRDefault="00EB6988" w:rsidP="00EB6988">
            <w:pPr>
              <w:jc w:val="center"/>
              <w:rPr>
                <w:sz w:val="20"/>
                <w:szCs w:val="20"/>
              </w:rPr>
            </w:pPr>
            <w:r w:rsidRPr="00EB6988">
              <w:rPr>
                <w:sz w:val="20"/>
                <w:szCs w:val="20"/>
              </w:rPr>
              <w:t>4</w:t>
            </w:r>
          </w:p>
        </w:tc>
        <w:tc>
          <w:tcPr>
            <w:tcW w:w="4963" w:type="dxa"/>
            <w:vAlign w:val="center"/>
          </w:tcPr>
          <w:p w14:paraId="21EA6852" w14:textId="72B1A265" w:rsidR="00EB6988" w:rsidRPr="00EB6988" w:rsidRDefault="00EB6988" w:rsidP="00EB6988">
            <w:pPr>
              <w:jc w:val="center"/>
              <w:rPr>
                <w:sz w:val="20"/>
                <w:szCs w:val="20"/>
              </w:rPr>
            </w:pPr>
            <w:r w:rsidRPr="00EB6988">
              <w:rPr>
                <w:sz w:val="20"/>
                <w:szCs w:val="20"/>
              </w:rPr>
              <w:t>2</w:t>
            </w:r>
          </w:p>
        </w:tc>
      </w:tr>
      <w:tr w:rsidR="00EB6988" w:rsidRPr="00EB6988" w14:paraId="3ABD5B5A" w14:textId="77777777" w:rsidTr="00EB6988">
        <w:tc>
          <w:tcPr>
            <w:tcW w:w="4963" w:type="dxa"/>
            <w:vAlign w:val="center"/>
          </w:tcPr>
          <w:p w14:paraId="7463A725" w14:textId="23AFF7F3" w:rsidR="00EB6988" w:rsidRPr="00EB6988" w:rsidRDefault="00EB6988" w:rsidP="00EB6988">
            <w:pPr>
              <w:jc w:val="center"/>
              <w:rPr>
                <w:sz w:val="20"/>
                <w:szCs w:val="20"/>
              </w:rPr>
            </w:pPr>
            <w:r w:rsidRPr="00EB6988">
              <w:rPr>
                <w:sz w:val="20"/>
                <w:szCs w:val="20"/>
              </w:rPr>
              <w:t>5</w:t>
            </w:r>
          </w:p>
        </w:tc>
        <w:tc>
          <w:tcPr>
            <w:tcW w:w="4963" w:type="dxa"/>
            <w:vAlign w:val="center"/>
          </w:tcPr>
          <w:p w14:paraId="2E1019DF" w14:textId="30C7F77A" w:rsidR="00EB6988" w:rsidRPr="00EB6988" w:rsidRDefault="00EB6988" w:rsidP="00EB6988">
            <w:pPr>
              <w:jc w:val="center"/>
              <w:rPr>
                <w:sz w:val="20"/>
                <w:szCs w:val="20"/>
              </w:rPr>
            </w:pPr>
            <w:r w:rsidRPr="00EB6988">
              <w:rPr>
                <w:sz w:val="20"/>
                <w:szCs w:val="20"/>
              </w:rPr>
              <w:t>3</w:t>
            </w:r>
          </w:p>
        </w:tc>
      </w:tr>
      <w:tr w:rsidR="00EB6988" w:rsidRPr="00EB6988" w14:paraId="72B690E9" w14:textId="77777777" w:rsidTr="00EB6988">
        <w:tc>
          <w:tcPr>
            <w:tcW w:w="4963" w:type="dxa"/>
            <w:vAlign w:val="center"/>
          </w:tcPr>
          <w:p w14:paraId="0D664F49" w14:textId="026DC0C4" w:rsidR="00EB6988" w:rsidRPr="00EB6988" w:rsidRDefault="00EB6988" w:rsidP="00EB6988">
            <w:pPr>
              <w:jc w:val="center"/>
              <w:rPr>
                <w:sz w:val="20"/>
                <w:szCs w:val="20"/>
              </w:rPr>
            </w:pPr>
            <w:r w:rsidRPr="00EB6988">
              <w:rPr>
                <w:sz w:val="20"/>
                <w:szCs w:val="20"/>
              </w:rPr>
              <w:t>6</w:t>
            </w:r>
          </w:p>
        </w:tc>
        <w:tc>
          <w:tcPr>
            <w:tcW w:w="4963" w:type="dxa"/>
            <w:vAlign w:val="center"/>
          </w:tcPr>
          <w:p w14:paraId="28FC50DA" w14:textId="4788D095" w:rsidR="00EB6988" w:rsidRPr="00EB6988" w:rsidRDefault="00EB6988" w:rsidP="00EB6988">
            <w:pPr>
              <w:jc w:val="center"/>
              <w:rPr>
                <w:sz w:val="20"/>
                <w:szCs w:val="20"/>
              </w:rPr>
            </w:pPr>
            <w:r w:rsidRPr="00EB6988">
              <w:rPr>
                <w:sz w:val="20"/>
                <w:szCs w:val="20"/>
              </w:rPr>
              <w:t>3</w:t>
            </w:r>
          </w:p>
        </w:tc>
      </w:tr>
    </w:tbl>
    <w:p w14:paraId="24829A44" w14:textId="77777777" w:rsidR="001867AF" w:rsidRDefault="001867AF" w:rsidP="006F6B41">
      <w:pPr>
        <w:spacing w:after="0" w:line="240" w:lineRule="auto"/>
        <w:jc w:val="both"/>
      </w:pPr>
    </w:p>
    <w:p w14:paraId="5D6AED05" w14:textId="20719003" w:rsidR="00252373" w:rsidRDefault="00252373" w:rsidP="006F6B41">
      <w:pPr>
        <w:spacing w:after="0" w:line="240" w:lineRule="auto"/>
        <w:jc w:val="both"/>
      </w:pPr>
      <w:r>
        <w:t xml:space="preserve">If you have any questions about </w:t>
      </w:r>
      <w:r w:rsidR="008F0DCC">
        <w:t xml:space="preserve">this </w:t>
      </w:r>
      <w:r>
        <w:t>COVID-related guidance to faculty, please contact</w:t>
      </w:r>
      <w:r w:rsidR="007A59EE">
        <w:t xml:space="preserve"> George Tejadilla, Executive Director of Academic Personnel</w:t>
      </w:r>
      <w:r w:rsidR="00696623">
        <w:t xml:space="preserve"> (</w:t>
      </w:r>
      <w:hyperlink r:id="rId4" w:history="1">
        <w:r w:rsidR="00696623" w:rsidRPr="00BC283B">
          <w:rPr>
            <w:rStyle w:val="Hyperlink"/>
          </w:rPr>
          <w:t>gtejadilla@cpp.edu</w:t>
        </w:r>
      </w:hyperlink>
      <w:r w:rsidR="00696623">
        <w:t>)</w:t>
      </w:r>
      <w:r w:rsidR="007A59EE">
        <w:t>.</w:t>
      </w:r>
    </w:p>
    <w:p w14:paraId="48698BDD" w14:textId="14277AA6" w:rsidR="00252373" w:rsidRDefault="00252373" w:rsidP="006F6B41">
      <w:pPr>
        <w:spacing w:after="0" w:line="240" w:lineRule="auto"/>
        <w:jc w:val="both"/>
      </w:pPr>
    </w:p>
    <w:p w14:paraId="4998F238" w14:textId="4A153D85" w:rsidR="00252373" w:rsidRDefault="00252373" w:rsidP="006F6B41">
      <w:pPr>
        <w:spacing w:after="0" w:line="240" w:lineRule="auto"/>
        <w:jc w:val="both"/>
      </w:pPr>
      <w:r>
        <w:t>Sincerely,</w:t>
      </w:r>
    </w:p>
    <w:p w14:paraId="29A75A75" w14:textId="77777777" w:rsidR="006F6B41" w:rsidRDefault="00252373" w:rsidP="006F6B41">
      <w:pPr>
        <w:spacing w:after="0" w:line="240" w:lineRule="auto"/>
        <w:jc w:val="both"/>
      </w:pPr>
      <w:r>
        <w:t>Sylvia A. Alva, Ph.D.</w:t>
      </w:r>
    </w:p>
    <w:p w14:paraId="6904E4E9" w14:textId="43B22419" w:rsidR="00DD0BA2" w:rsidRDefault="00252373" w:rsidP="006F6B41">
      <w:pPr>
        <w:spacing w:after="0" w:line="240" w:lineRule="auto"/>
        <w:jc w:val="both"/>
      </w:pPr>
      <w:r>
        <w:t>Provost and Vice President for Academic Affairs</w:t>
      </w:r>
    </w:p>
    <w:sectPr w:rsidR="00DD0BA2" w:rsidSect="00FE6E84">
      <w:pgSz w:w="12240" w:h="15840"/>
      <w:pgMar w:top="1008"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TU1MzEwNgMCcyUdpeDU4uLM/DyQAsNaAEwBbSIsAAAA"/>
  </w:docVars>
  <w:rsids>
    <w:rsidRoot w:val="00B460F7"/>
    <w:rsid w:val="0009361C"/>
    <w:rsid w:val="000A176C"/>
    <w:rsid w:val="000F0597"/>
    <w:rsid w:val="0015176E"/>
    <w:rsid w:val="0016313E"/>
    <w:rsid w:val="001867AF"/>
    <w:rsid w:val="00215139"/>
    <w:rsid w:val="00242A38"/>
    <w:rsid w:val="00252373"/>
    <w:rsid w:val="00263C03"/>
    <w:rsid w:val="002E55A6"/>
    <w:rsid w:val="00444A2F"/>
    <w:rsid w:val="00447D4B"/>
    <w:rsid w:val="004B3642"/>
    <w:rsid w:val="004F0FBD"/>
    <w:rsid w:val="00501097"/>
    <w:rsid w:val="00535E3D"/>
    <w:rsid w:val="005402D7"/>
    <w:rsid w:val="006919C8"/>
    <w:rsid w:val="00696623"/>
    <w:rsid w:val="006F6B41"/>
    <w:rsid w:val="007078F8"/>
    <w:rsid w:val="00733830"/>
    <w:rsid w:val="00763867"/>
    <w:rsid w:val="00766B11"/>
    <w:rsid w:val="0077385A"/>
    <w:rsid w:val="007A59EE"/>
    <w:rsid w:val="007A73F9"/>
    <w:rsid w:val="007B11CF"/>
    <w:rsid w:val="007B1AFD"/>
    <w:rsid w:val="007F0940"/>
    <w:rsid w:val="007F0D06"/>
    <w:rsid w:val="00804466"/>
    <w:rsid w:val="00857696"/>
    <w:rsid w:val="008A093F"/>
    <w:rsid w:val="008F0DCC"/>
    <w:rsid w:val="00951523"/>
    <w:rsid w:val="009B5162"/>
    <w:rsid w:val="00A20C2D"/>
    <w:rsid w:val="00A67EBA"/>
    <w:rsid w:val="00A817E8"/>
    <w:rsid w:val="00AF0CEA"/>
    <w:rsid w:val="00B01008"/>
    <w:rsid w:val="00B460F7"/>
    <w:rsid w:val="00BE5E03"/>
    <w:rsid w:val="00C00BE3"/>
    <w:rsid w:val="00C04C73"/>
    <w:rsid w:val="00C120E1"/>
    <w:rsid w:val="00CD422D"/>
    <w:rsid w:val="00CD60F0"/>
    <w:rsid w:val="00D90FFB"/>
    <w:rsid w:val="00DD0BA2"/>
    <w:rsid w:val="00E21C48"/>
    <w:rsid w:val="00E30A84"/>
    <w:rsid w:val="00E35C0E"/>
    <w:rsid w:val="00E936D3"/>
    <w:rsid w:val="00EB6988"/>
    <w:rsid w:val="00F02FE7"/>
    <w:rsid w:val="00F56788"/>
    <w:rsid w:val="00FA4323"/>
    <w:rsid w:val="00FE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DADE"/>
  <w15:chartTrackingRefBased/>
  <w15:docId w15:val="{4835406F-2338-4465-BC12-3861594B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22D"/>
    <w:rPr>
      <w:sz w:val="16"/>
      <w:szCs w:val="16"/>
    </w:rPr>
  </w:style>
  <w:style w:type="paragraph" w:styleId="CommentText">
    <w:name w:val="annotation text"/>
    <w:basedOn w:val="Normal"/>
    <w:link w:val="CommentTextChar"/>
    <w:uiPriority w:val="99"/>
    <w:semiHidden/>
    <w:unhideWhenUsed/>
    <w:rsid w:val="00CD422D"/>
    <w:pPr>
      <w:spacing w:line="240" w:lineRule="auto"/>
    </w:pPr>
    <w:rPr>
      <w:sz w:val="20"/>
      <w:szCs w:val="20"/>
    </w:rPr>
  </w:style>
  <w:style w:type="character" w:customStyle="1" w:styleId="CommentTextChar">
    <w:name w:val="Comment Text Char"/>
    <w:basedOn w:val="DefaultParagraphFont"/>
    <w:link w:val="CommentText"/>
    <w:uiPriority w:val="99"/>
    <w:semiHidden/>
    <w:rsid w:val="00CD422D"/>
    <w:rPr>
      <w:sz w:val="20"/>
      <w:szCs w:val="20"/>
    </w:rPr>
  </w:style>
  <w:style w:type="paragraph" w:styleId="CommentSubject">
    <w:name w:val="annotation subject"/>
    <w:basedOn w:val="CommentText"/>
    <w:next w:val="CommentText"/>
    <w:link w:val="CommentSubjectChar"/>
    <w:uiPriority w:val="99"/>
    <w:semiHidden/>
    <w:unhideWhenUsed/>
    <w:rsid w:val="00CD422D"/>
    <w:rPr>
      <w:b/>
      <w:bCs/>
    </w:rPr>
  </w:style>
  <w:style w:type="character" w:customStyle="1" w:styleId="CommentSubjectChar">
    <w:name w:val="Comment Subject Char"/>
    <w:basedOn w:val="CommentTextChar"/>
    <w:link w:val="CommentSubject"/>
    <w:uiPriority w:val="99"/>
    <w:semiHidden/>
    <w:rsid w:val="00CD422D"/>
    <w:rPr>
      <w:b/>
      <w:bCs/>
      <w:sz w:val="20"/>
      <w:szCs w:val="20"/>
    </w:rPr>
  </w:style>
  <w:style w:type="paragraph" w:styleId="BalloonText">
    <w:name w:val="Balloon Text"/>
    <w:basedOn w:val="Normal"/>
    <w:link w:val="BalloonTextChar"/>
    <w:uiPriority w:val="99"/>
    <w:semiHidden/>
    <w:unhideWhenUsed/>
    <w:rsid w:val="00CD4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22D"/>
    <w:rPr>
      <w:rFonts w:ascii="Segoe UI" w:hAnsi="Segoe UI" w:cs="Segoe UI"/>
      <w:sz w:val="18"/>
      <w:szCs w:val="18"/>
    </w:rPr>
  </w:style>
  <w:style w:type="character" w:styleId="Hyperlink">
    <w:name w:val="Hyperlink"/>
    <w:basedOn w:val="DefaultParagraphFont"/>
    <w:uiPriority w:val="99"/>
    <w:unhideWhenUsed/>
    <w:rsid w:val="00696623"/>
    <w:rPr>
      <w:color w:val="0563C1" w:themeColor="hyperlink"/>
      <w:u w:val="single"/>
    </w:rPr>
  </w:style>
  <w:style w:type="character" w:styleId="UnresolvedMention">
    <w:name w:val="Unresolved Mention"/>
    <w:basedOn w:val="DefaultParagraphFont"/>
    <w:uiPriority w:val="99"/>
    <w:semiHidden/>
    <w:unhideWhenUsed/>
    <w:rsid w:val="00696623"/>
    <w:rPr>
      <w:color w:val="605E5C"/>
      <w:shd w:val="clear" w:color="auto" w:fill="E1DFDD"/>
    </w:rPr>
  </w:style>
  <w:style w:type="table" w:styleId="TableGrid">
    <w:name w:val="Table Grid"/>
    <w:basedOn w:val="TableNormal"/>
    <w:uiPriority w:val="59"/>
    <w:rsid w:val="0018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tejadilla@cp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 Alva</dc:creator>
  <cp:keywords/>
  <dc:description/>
  <cp:lastModifiedBy>ubcpp@outlook.com</cp:lastModifiedBy>
  <cp:revision>2</cp:revision>
  <dcterms:created xsi:type="dcterms:W3CDTF">2021-02-10T15:46:00Z</dcterms:created>
  <dcterms:modified xsi:type="dcterms:W3CDTF">2021-02-10T15:46:00Z</dcterms:modified>
</cp:coreProperties>
</file>