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0590" w14:textId="425C64E4" w:rsidR="00CE5BBF" w:rsidRDefault="00CE5BBF" w:rsidP="00CE5BBF">
      <w:pPr>
        <w:tabs>
          <w:tab w:val="decimal" w:pos="5040"/>
          <w:tab w:val="right" w:pos="9360"/>
        </w:tabs>
        <w:rPr>
          <w:sz w:val="32"/>
          <w:szCs w:val="32"/>
        </w:rPr>
      </w:pPr>
      <w:r w:rsidRPr="00F3777F">
        <w:rPr>
          <w:b/>
          <w:sz w:val="32"/>
          <w:szCs w:val="32"/>
        </w:rPr>
        <w:t>GE Area</w:t>
      </w:r>
      <w:r w:rsidRPr="001C7CE5">
        <w:rPr>
          <w:b/>
          <w:sz w:val="32"/>
          <w:szCs w:val="32"/>
        </w:rPr>
        <w:t>: C</w:t>
      </w:r>
      <w:r w:rsidR="00FB1DF6">
        <w:rPr>
          <w:b/>
          <w:sz w:val="32"/>
          <w:szCs w:val="32"/>
        </w:rPr>
        <w:t>3</w:t>
      </w:r>
      <w:r w:rsidRPr="00F3777F">
        <w:rPr>
          <w:sz w:val="32"/>
          <w:szCs w:val="32"/>
        </w:rPr>
        <w:tab/>
      </w:r>
      <w:r w:rsidRPr="00F66464">
        <w:rPr>
          <w:b/>
          <w:sz w:val="32"/>
          <w:szCs w:val="32"/>
        </w:rPr>
        <w:t>Title: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3777F">
        <w:rPr>
          <w:b/>
          <w:sz w:val="32"/>
          <w:szCs w:val="32"/>
        </w:rPr>
        <w:t>Course</w:t>
      </w:r>
      <w:r>
        <w:rPr>
          <w:sz w:val="32"/>
          <w:szCs w:val="32"/>
        </w:rPr>
        <w:t xml:space="preserve"> #   </w:t>
      </w:r>
    </w:p>
    <w:p w14:paraId="6CC859F9" w14:textId="77777777" w:rsidR="00CE5BBF" w:rsidRPr="0070291D" w:rsidRDefault="00CE5BBF" w:rsidP="00CE5BBF">
      <w:pPr>
        <w:tabs>
          <w:tab w:val="decimal" w:pos="5040"/>
          <w:tab w:val="right" w:pos="9090"/>
        </w:tabs>
        <w:rPr>
          <w:rFonts w:ascii="Arial" w:hAnsi="Arial" w:cs="Arial"/>
          <w:sz w:val="20"/>
          <w:szCs w:val="20"/>
        </w:rPr>
      </w:pPr>
      <w:r w:rsidRPr="0070291D">
        <w:rPr>
          <w:rFonts w:ascii="Arial" w:hAnsi="Arial" w:cs="Arial"/>
          <w:sz w:val="20"/>
          <w:szCs w:val="20"/>
        </w:rPr>
        <w:t xml:space="preserve">Reviewer’s Name: </w:t>
      </w:r>
    </w:p>
    <w:p w14:paraId="51CACDC5" w14:textId="62D5426B" w:rsidR="00911819" w:rsidRPr="0070291D" w:rsidRDefault="00911819" w:rsidP="00911819">
      <w:pPr>
        <w:spacing w:after="0" w:line="260" w:lineRule="exact"/>
        <w:ind w:right="72"/>
        <w:rPr>
          <w:rFonts w:ascii="Arial" w:hAnsi="Arial" w:cs="Arial"/>
          <w:sz w:val="20"/>
          <w:szCs w:val="20"/>
        </w:rPr>
      </w:pPr>
      <w:r w:rsidRPr="0070291D">
        <w:rPr>
          <w:rFonts w:ascii="Arial" w:eastAsia="Times New Roman" w:hAnsi="Arial" w:cs="Arial"/>
          <w:b/>
          <w:sz w:val="20"/>
          <w:szCs w:val="20"/>
        </w:rPr>
        <w:t>C</w:t>
      </w:r>
      <w:r w:rsidR="00FB1DF6">
        <w:rPr>
          <w:rFonts w:ascii="Arial" w:eastAsia="Times New Roman" w:hAnsi="Arial" w:cs="Arial"/>
          <w:b/>
          <w:sz w:val="20"/>
          <w:szCs w:val="20"/>
        </w:rPr>
        <w:t>3</w:t>
      </w:r>
      <w:r w:rsidRPr="0070291D">
        <w:rPr>
          <w:rFonts w:ascii="Arial" w:eastAsia="Times New Roman" w:hAnsi="Arial" w:cs="Arial"/>
          <w:b/>
          <w:sz w:val="20"/>
          <w:szCs w:val="20"/>
        </w:rPr>
        <w:t>: Arts and Humanities Synthesis</w:t>
      </w:r>
    </w:p>
    <w:p w14:paraId="6C44DCF9" w14:textId="77777777" w:rsidR="00383BA4" w:rsidRPr="0070291D" w:rsidRDefault="00911819" w:rsidP="00911819">
      <w:pPr>
        <w:spacing w:before="4" w:after="0" w:line="260" w:lineRule="exact"/>
        <w:ind w:right="72"/>
        <w:rPr>
          <w:rFonts w:ascii="Arial" w:eastAsia="Times New Roman" w:hAnsi="Arial" w:cs="Arial"/>
          <w:sz w:val="20"/>
          <w:szCs w:val="20"/>
        </w:rPr>
      </w:pPr>
      <w:r w:rsidRPr="0070291D">
        <w:rPr>
          <w:rFonts w:ascii="Arial" w:eastAsia="Times New Roman" w:hAnsi="Arial" w:cs="Arial"/>
          <w:sz w:val="20"/>
          <w:szCs w:val="20"/>
        </w:rPr>
        <w:t>Courses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in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this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area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shall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emphasize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the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humanistic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or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expressive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aspects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of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culture. Synthesis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offerings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should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provide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temporal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and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cultural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context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that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will</w:t>
      </w:r>
      <w:r w:rsidRPr="0070291D">
        <w:rPr>
          <w:rFonts w:ascii="Arial" w:hAnsi="Arial" w:cs="Arial"/>
          <w:sz w:val="20"/>
          <w:szCs w:val="20"/>
        </w:rPr>
        <w:t xml:space="preserve"> </w:t>
      </w:r>
      <w:r w:rsidRPr="0070291D">
        <w:rPr>
          <w:rFonts w:ascii="Arial" w:eastAsia="Times New Roman" w:hAnsi="Arial" w:cs="Arial"/>
          <w:sz w:val="20"/>
          <w:szCs w:val="20"/>
        </w:rPr>
        <w:t>illuminate contemporary thought and behavior-global, regional, and local – showing the bonds between the past, present, and future</w:t>
      </w:r>
      <w:r w:rsidR="00B31FC8" w:rsidRPr="0070291D">
        <w:rPr>
          <w:rFonts w:ascii="Arial" w:eastAsia="Times New Roman" w:hAnsi="Arial" w:cs="Arial"/>
          <w:sz w:val="20"/>
          <w:szCs w:val="20"/>
        </w:rPr>
        <w:t xml:space="preserve">. </w:t>
      </w:r>
      <w:r w:rsidR="00C66887" w:rsidRPr="0070291D">
        <w:rPr>
          <w:rFonts w:ascii="Arial" w:eastAsia="Times New Roman" w:hAnsi="Arial" w:cs="Arial"/>
          <w:sz w:val="20"/>
          <w:szCs w:val="20"/>
        </w:rPr>
        <w:t xml:space="preserve">The expanded course outline for courses proposed for this area must clearly indicate an integration of themes and issues within Philosophy, Fine Arts, Language, Performing Arts, History and Literature </w:t>
      </w:r>
      <w:r w:rsidR="0087120C" w:rsidRPr="0070291D">
        <w:rPr>
          <w:rFonts w:ascii="Arial" w:eastAsia="Times New Roman" w:hAnsi="Arial" w:cs="Arial"/>
          <w:sz w:val="20"/>
          <w:szCs w:val="20"/>
        </w:rPr>
        <w:t>(Also, see Guidelines for Upper Division Synthesis Courses)</w:t>
      </w:r>
    </w:p>
    <w:p w14:paraId="28DE3791" w14:textId="77777777" w:rsidR="00B31FC8" w:rsidRPr="0070291D" w:rsidRDefault="00B31FC8" w:rsidP="00BB4FFA">
      <w:pPr>
        <w:spacing w:after="0" w:line="260" w:lineRule="exact"/>
        <w:ind w:right="73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40"/>
        <w:gridCol w:w="3611"/>
        <w:gridCol w:w="3319"/>
      </w:tblGrid>
      <w:tr w:rsidR="00F84697" w:rsidRPr="0070291D" w14:paraId="6A64AE85" w14:textId="77777777" w:rsidTr="003A689E">
        <w:tc>
          <w:tcPr>
            <w:tcW w:w="3240" w:type="dxa"/>
            <w:vAlign w:val="center"/>
          </w:tcPr>
          <w:p w14:paraId="700679EF" w14:textId="77777777" w:rsidR="00F84697" w:rsidRPr="0070291D" w:rsidRDefault="00F84697" w:rsidP="00A0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Rubric Question</w:t>
            </w:r>
          </w:p>
        </w:tc>
        <w:tc>
          <w:tcPr>
            <w:tcW w:w="3611" w:type="dxa"/>
            <w:vAlign w:val="center"/>
          </w:tcPr>
          <w:p w14:paraId="4380B1DF" w14:textId="77777777" w:rsidR="00F84697" w:rsidRPr="0070291D" w:rsidRDefault="00F84697" w:rsidP="00A0687D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GE subareas or SLOs mapped</w:t>
            </w:r>
          </w:p>
        </w:tc>
        <w:tc>
          <w:tcPr>
            <w:tcW w:w="3319" w:type="dxa"/>
            <w:vAlign w:val="center"/>
          </w:tcPr>
          <w:p w14:paraId="3B348F27" w14:textId="77777777" w:rsidR="00F84697" w:rsidRPr="0070291D" w:rsidRDefault="00F84697" w:rsidP="00A0687D">
            <w:pPr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4B7C7B" w:rsidRPr="0070291D" w14:paraId="15EDAB32" w14:textId="77777777" w:rsidTr="003A689E">
        <w:trPr>
          <w:trHeight w:val="639"/>
        </w:trPr>
        <w:tc>
          <w:tcPr>
            <w:tcW w:w="3240" w:type="dxa"/>
            <w:vMerge w:val="restart"/>
          </w:tcPr>
          <w:p w14:paraId="33881EFA" w14:textId="77777777" w:rsidR="004B7C7B" w:rsidRPr="0070291D" w:rsidRDefault="004B7C7B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Does the course meet the description of the GE Subarea?</w:t>
            </w:r>
          </w:p>
        </w:tc>
        <w:tc>
          <w:tcPr>
            <w:tcW w:w="3611" w:type="dxa"/>
          </w:tcPr>
          <w:p w14:paraId="08191D90" w14:textId="0C594A5F" w:rsidR="004B7C7B" w:rsidRPr="0070291D" w:rsidRDefault="00682726" w:rsidP="00A0687D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6D763D">
              <w:rPr>
                <w:rFonts w:ascii="Arial" w:hAnsi="Arial" w:cs="Arial"/>
                <w:sz w:val="20"/>
                <w:szCs w:val="20"/>
              </w:rPr>
              <w:t>Meets the description of the GE Subarea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FB1DF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(above) plus Additional Description of Area C</w:t>
            </w:r>
          </w:p>
        </w:tc>
        <w:tc>
          <w:tcPr>
            <w:tcW w:w="3319" w:type="dxa"/>
          </w:tcPr>
          <w:p w14:paraId="468FCE64" w14:textId="77777777" w:rsidR="004B7C7B" w:rsidRPr="0070291D" w:rsidRDefault="004B7C7B" w:rsidP="00A0687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C7B" w:rsidRPr="0070291D" w14:paraId="74583B01" w14:textId="77777777" w:rsidTr="004B7C7B">
        <w:trPr>
          <w:trHeight w:val="521"/>
        </w:trPr>
        <w:tc>
          <w:tcPr>
            <w:tcW w:w="3240" w:type="dxa"/>
            <w:vMerge/>
          </w:tcPr>
          <w:p w14:paraId="59CD60F9" w14:textId="77777777" w:rsidR="004B7C7B" w:rsidRPr="0070291D" w:rsidRDefault="004B7C7B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370E190F" w14:textId="256662CD" w:rsidR="004B7C7B" w:rsidRPr="0070291D" w:rsidRDefault="004B7C7B" w:rsidP="004B7C7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Meets Guidelines for GE Upper Division Synthesis Courses</w:t>
            </w:r>
          </w:p>
        </w:tc>
        <w:tc>
          <w:tcPr>
            <w:tcW w:w="3319" w:type="dxa"/>
          </w:tcPr>
          <w:p w14:paraId="32E41DCE" w14:textId="77777777" w:rsidR="004B7C7B" w:rsidRPr="0070291D" w:rsidRDefault="004B7C7B" w:rsidP="00A0687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C7B" w:rsidRPr="0070291D" w14:paraId="41437C0E" w14:textId="77777777" w:rsidTr="004B7C7B">
        <w:trPr>
          <w:trHeight w:val="548"/>
        </w:trPr>
        <w:tc>
          <w:tcPr>
            <w:tcW w:w="3240" w:type="dxa"/>
            <w:vMerge/>
          </w:tcPr>
          <w:p w14:paraId="624BD1A3" w14:textId="77777777" w:rsidR="004B7C7B" w:rsidRPr="0070291D" w:rsidRDefault="004B7C7B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11B6328F" w14:textId="63E9147C" w:rsidR="004B7C7B" w:rsidRPr="0070291D" w:rsidRDefault="004B7C7B" w:rsidP="004B7C7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Will develop higher-order cognitive skills</w:t>
            </w:r>
          </w:p>
        </w:tc>
        <w:tc>
          <w:tcPr>
            <w:tcW w:w="3319" w:type="dxa"/>
          </w:tcPr>
          <w:p w14:paraId="15BE5159" w14:textId="77777777" w:rsidR="004B7C7B" w:rsidRPr="0070291D" w:rsidRDefault="004B7C7B" w:rsidP="00A0687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697" w:rsidRPr="0070291D" w14:paraId="034CF1DC" w14:textId="77777777" w:rsidTr="003A689E">
        <w:trPr>
          <w:trHeight w:val="503"/>
        </w:trPr>
        <w:tc>
          <w:tcPr>
            <w:tcW w:w="3240" w:type="dxa"/>
            <w:vMerge w:val="restart"/>
          </w:tcPr>
          <w:p w14:paraId="77DC8707" w14:textId="77777777" w:rsidR="00F84697" w:rsidRPr="0070291D" w:rsidRDefault="00F84697" w:rsidP="00604B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70291D">
              <w:rPr>
                <w:rFonts w:ascii="Arial" w:hAnsi="Arial" w:cs="Arial"/>
                <w:color w:val="000000"/>
                <w:sz w:val="20"/>
                <w:szCs w:val="20"/>
              </w:rPr>
              <w:t>Does the course fully address the GE SLOs mapped to the subarea</w:t>
            </w:r>
            <w:r w:rsidR="00604B1C" w:rsidRPr="0070291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11" w:type="dxa"/>
          </w:tcPr>
          <w:p w14:paraId="62350683" w14:textId="77777777" w:rsidR="00F84697" w:rsidRPr="0070291D" w:rsidRDefault="00F84697" w:rsidP="006453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91D">
              <w:rPr>
                <w:rFonts w:ascii="Arial" w:hAnsi="Arial" w:cs="Arial"/>
                <w:color w:val="000000"/>
                <w:sz w:val="20"/>
                <w:szCs w:val="20"/>
              </w:rPr>
              <w:t>1a</w:t>
            </w:r>
            <w:r w:rsidR="003D13B7" w:rsidRPr="0070291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Write effectively</w:t>
            </w:r>
          </w:p>
        </w:tc>
        <w:tc>
          <w:tcPr>
            <w:tcW w:w="3319" w:type="dxa"/>
          </w:tcPr>
          <w:p w14:paraId="2747A9E1" w14:textId="77777777" w:rsidR="00F84697" w:rsidRPr="0070291D" w:rsidRDefault="00F84697" w:rsidP="00A0687D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7965E8" w:rsidRPr="0070291D" w14:paraId="27BCA194" w14:textId="77777777" w:rsidTr="003A689E">
        <w:trPr>
          <w:trHeight w:val="503"/>
        </w:trPr>
        <w:tc>
          <w:tcPr>
            <w:tcW w:w="3240" w:type="dxa"/>
            <w:vMerge/>
          </w:tcPr>
          <w:p w14:paraId="39E74596" w14:textId="77777777" w:rsidR="007965E8" w:rsidRPr="0070291D" w:rsidRDefault="007965E8" w:rsidP="00604B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78655BF7" w14:textId="77777777" w:rsidR="007965E8" w:rsidRPr="0070291D" w:rsidRDefault="00B31FC8" w:rsidP="00AF108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1b - Speak effectively to various audiences</w:t>
            </w:r>
          </w:p>
        </w:tc>
        <w:tc>
          <w:tcPr>
            <w:tcW w:w="3319" w:type="dxa"/>
          </w:tcPr>
          <w:p w14:paraId="638606B8" w14:textId="77777777" w:rsidR="007965E8" w:rsidRPr="0070291D" w:rsidRDefault="007965E8" w:rsidP="00A0687D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72C0" w:rsidRPr="0070291D" w14:paraId="6AB86684" w14:textId="77777777" w:rsidTr="003A689E">
        <w:trPr>
          <w:trHeight w:val="503"/>
        </w:trPr>
        <w:tc>
          <w:tcPr>
            <w:tcW w:w="3240" w:type="dxa"/>
            <w:vMerge/>
          </w:tcPr>
          <w:p w14:paraId="0A8F715A" w14:textId="77777777" w:rsidR="00F172C0" w:rsidRPr="0070291D" w:rsidRDefault="00F172C0" w:rsidP="00604B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3BFC4138" w14:textId="77777777" w:rsidR="00F172C0" w:rsidRPr="0070291D" w:rsidRDefault="00B31FC8" w:rsidP="00AF108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1c - Find, evaluate, use, and share information effectively and ethically</w:t>
            </w:r>
          </w:p>
        </w:tc>
        <w:tc>
          <w:tcPr>
            <w:tcW w:w="3319" w:type="dxa"/>
          </w:tcPr>
          <w:p w14:paraId="575ECBAC" w14:textId="77777777" w:rsidR="00F172C0" w:rsidRPr="0070291D" w:rsidRDefault="00F172C0" w:rsidP="00A0687D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FC8" w:rsidRPr="0070291D" w14:paraId="476549E2" w14:textId="77777777" w:rsidTr="003A689E">
        <w:trPr>
          <w:trHeight w:val="503"/>
        </w:trPr>
        <w:tc>
          <w:tcPr>
            <w:tcW w:w="3240" w:type="dxa"/>
            <w:vMerge/>
          </w:tcPr>
          <w:p w14:paraId="3F41B869" w14:textId="77777777" w:rsidR="00B31FC8" w:rsidRPr="0070291D" w:rsidRDefault="00B31FC8" w:rsidP="00604B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574C618B" w14:textId="77777777" w:rsidR="00B31FC8" w:rsidRPr="0070291D" w:rsidRDefault="00B31FC8" w:rsidP="00AF108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1d - Construct arguments based on sound evidence and reasoning to support an opinion or conclusion</w:t>
            </w:r>
          </w:p>
        </w:tc>
        <w:tc>
          <w:tcPr>
            <w:tcW w:w="3319" w:type="dxa"/>
          </w:tcPr>
          <w:p w14:paraId="284703B0" w14:textId="77777777" w:rsidR="00B31FC8" w:rsidRPr="0070291D" w:rsidRDefault="00B31FC8" w:rsidP="00A0687D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FC8" w:rsidRPr="0070291D" w14:paraId="701DEC36" w14:textId="77777777" w:rsidTr="003A689E">
        <w:trPr>
          <w:trHeight w:val="503"/>
        </w:trPr>
        <w:tc>
          <w:tcPr>
            <w:tcW w:w="3240" w:type="dxa"/>
            <w:vMerge/>
          </w:tcPr>
          <w:p w14:paraId="13D03FDE" w14:textId="77777777" w:rsidR="00B31FC8" w:rsidRPr="0070291D" w:rsidRDefault="00B31FC8" w:rsidP="00604B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372ED62E" w14:textId="77777777" w:rsidR="00B31FC8" w:rsidRPr="0070291D" w:rsidRDefault="00911819" w:rsidP="00B31FC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2b - Analyze major literary, philosophical, historical or artistic works and explain their significance in society</w:t>
            </w:r>
          </w:p>
        </w:tc>
        <w:tc>
          <w:tcPr>
            <w:tcW w:w="3319" w:type="dxa"/>
          </w:tcPr>
          <w:p w14:paraId="1ADB74D6" w14:textId="77777777" w:rsidR="00B31FC8" w:rsidRPr="0070291D" w:rsidRDefault="00B31FC8" w:rsidP="00A0687D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FC8" w:rsidRPr="0070291D" w14:paraId="1A43B7F6" w14:textId="77777777" w:rsidTr="003A689E">
        <w:trPr>
          <w:trHeight w:val="503"/>
        </w:trPr>
        <w:tc>
          <w:tcPr>
            <w:tcW w:w="3240" w:type="dxa"/>
            <w:vMerge/>
          </w:tcPr>
          <w:p w14:paraId="46FBD5D8" w14:textId="77777777" w:rsidR="00B31FC8" w:rsidRPr="0070291D" w:rsidRDefault="00B31FC8" w:rsidP="00604B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46478D9E" w14:textId="77777777" w:rsidR="00B31FC8" w:rsidRPr="0070291D" w:rsidRDefault="00911819" w:rsidP="00AF108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2d - Integrate concepts, examples, and theories from more than one discipline to identify problems, construct original ideas, and draw conclusions</w:t>
            </w:r>
          </w:p>
        </w:tc>
        <w:tc>
          <w:tcPr>
            <w:tcW w:w="3319" w:type="dxa"/>
          </w:tcPr>
          <w:p w14:paraId="4210D18C" w14:textId="77777777" w:rsidR="00B31FC8" w:rsidRPr="0070291D" w:rsidRDefault="00B31FC8" w:rsidP="00A0687D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FC8" w:rsidRPr="0070291D" w14:paraId="4EC71904" w14:textId="77777777" w:rsidTr="003A689E">
        <w:trPr>
          <w:trHeight w:val="503"/>
        </w:trPr>
        <w:tc>
          <w:tcPr>
            <w:tcW w:w="3240" w:type="dxa"/>
            <w:vMerge/>
          </w:tcPr>
          <w:p w14:paraId="32F51283" w14:textId="77777777" w:rsidR="00B31FC8" w:rsidRPr="0070291D" w:rsidRDefault="00B31FC8" w:rsidP="00604B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7ED403A1" w14:textId="77777777" w:rsidR="00B31FC8" w:rsidRPr="0070291D" w:rsidRDefault="00911819" w:rsidP="00AF108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3a - Analyze the historical development of diverse cultures and the role they play in shaping core institutions and practices of individuals and societies</w:t>
            </w:r>
          </w:p>
        </w:tc>
        <w:tc>
          <w:tcPr>
            <w:tcW w:w="3319" w:type="dxa"/>
          </w:tcPr>
          <w:p w14:paraId="269C21BD" w14:textId="77777777" w:rsidR="00B31FC8" w:rsidRPr="0070291D" w:rsidRDefault="00B31FC8" w:rsidP="00A0687D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1BD" w:rsidRPr="0070291D" w14:paraId="01FA6268" w14:textId="77777777" w:rsidTr="003A689E">
        <w:tc>
          <w:tcPr>
            <w:tcW w:w="3240" w:type="dxa"/>
          </w:tcPr>
          <w:p w14:paraId="0B55E117" w14:textId="77777777" w:rsidR="004611BD" w:rsidRPr="0070291D" w:rsidRDefault="004611BD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 xml:space="preserve">Is there a meaningful writing component? </w:t>
            </w:r>
          </w:p>
        </w:tc>
        <w:tc>
          <w:tcPr>
            <w:tcW w:w="3611" w:type="dxa"/>
          </w:tcPr>
          <w:p w14:paraId="78A8F3C3" w14:textId="77777777" w:rsidR="004611BD" w:rsidRPr="0070291D" w:rsidRDefault="004611BD" w:rsidP="00A0687D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</w:tcPr>
          <w:p w14:paraId="049C79D4" w14:textId="77777777" w:rsidR="004611BD" w:rsidRPr="0070291D" w:rsidRDefault="004611BD" w:rsidP="00A0687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1BD" w:rsidRPr="0070291D" w14:paraId="6D0B5A40" w14:textId="77777777" w:rsidTr="003A689E">
        <w:tc>
          <w:tcPr>
            <w:tcW w:w="3240" w:type="dxa"/>
          </w:tcPr>
          <w:p w14:paraId="7D9DDF95" w14:textId="77777777" w:rsidR="004611BD" w:rsidRPr="0070291D" w:rsidRDefault="004611BD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291D">
              <w:rPr>
                <w:rFonts w:ascii="Arial" w:hAnsi="Arial" w:cs="Arial"/>
                <w:sz w:val="20"/>
                <w:szCs w:val="20"/>
              </w:rPr>
              <w:t>Is the mapping of methods of evaluation to the GE SLOs reasonable</w:t>
            </w:r>
          </w:p>
        </w:tc>
        <w:tc>
          <w:tcPr>
            <w:tcW w:w="3611" w:type="dxa"/>
          </w:tcPr>
          <w:p w14:paraId="2C9752FD" w14:textId="77777777" w:rsidR="004611BD" w:rsidRPr="0070291D" w:rsidRDefault="004611BD" w:rsidP="00A0687D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</w:tcPr>
          <w:p w14:paraId="4457880E" w14:textId="77777777" w:rsidR="004611BD" w:rsidRPr="0070291D" w:rsidRDefault="004611BD" w:rsidP="00A0687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228EE" w14:textId="77777777" w:rsidR="00047E8B" w:rsidRDefault="00047E8B" w:rsidP="00047E8B">
      <w:pPr>
        <w:pStyle w:val="ListParagraph"/>
        <w:rPr>
          <w:rFonts w:ascii="Arial" w:hAnsi="Arial" w:cs="Arial"/>
          <w:sz w:val="20"/>
          <w:szCs w:val="20"/>
        </w:rPr>
      </w:pPr>
    </w:p>
    <w:p w14:paraId="2E4487CF" w14:textId="77777777" w:rsidR="005925AD" w:rsidRDefault="005925AD" w:rsidP="005925A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b/>
          <w:sz w:val="18"/>
          <w:szCs w:val="18"/>
        </w:rPr>
      </w:pPr>
      <w:r w:rsidRPr="00D942ED">
        <w:rPr>
          <w:rFonts w:ascii="Arial" w:eastAsiaTheme="minorEastAsia" w:hAnsi="Arial" w:cs="Calibri"/>
          <w:b/>
          <w:sz w:val="18"/>
          <w:szCs w:val="18"/>
        </w:rPr>
        <w:t>Review Result: A= Approve (No discussion at Senate), AF = Approved &amp; Forward to Senate, IC = Incomplete (return to originator), R = Reject (return to originator)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5925AD" w14:paraId="74EBA390" w14:textId="77777777" w:rsidTr="00B32BE7">
        <w:tc>
          <w:tcPr>
            <w:tcW w:w="1192" w:type="dxa"/>
          </w:tcPr>
          <w:p w14:paraId="161AD4C3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AG (S)</w:t>
            </w:r>
          </w:p>
        </w:tc>
        <w:tc>
          <w:tcPr>
            <w:tcW w:w="1192" w:type="dxa"/>
          </w:tcPr>
          <w:p w14:paraId="1E60F809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CBA (S)</w:t>
            </w:r>
          </w:p>
        </w:tc>
        <w:tc>
          <w:tcPr>
            <w:tcW w:w="1192" w:type="dxa"/>
          </w:tcPr>
          <w:p w14:paraId="091837C8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CLASS (S)</w:t>
            </w:r>
          </w:p>
        </w:tc>
        <w:tc>
          <w:tcPr>
            <w:tcW w:w="1192" w:type="dxa"/>
          </w:tcPr>
          <w:p w14:paraId="0120A437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CCHM (S)</w:t>
            </w:r>
          </w:p>
        </w:tc>
        <w:tc>
          <w:tcPr>
            <w:tcW w:w="1192" w:type="dxa"/>
          </w:tcPr>
          <w:p w14:paraId="5C487A11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CEIS (S)</w:t>
            </w:r>
          </w:p>
        </w:tc>
        <w:tc>
          <w:tcPr>
            <w:tcW w:w="1192" w:type="dxa"/>
          </w:tcPr>
          <w:p w14:paraId="637FBED5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ENR (S)</w:t>
            </w:r>
          </w:p>
        </w:tc>
        <w:tc>
          <w:tcPr>
            <w:tcW w:w="1192" w:type="dxa"/>
          </w:tcPr>
          <w:p w14:paraId="36C8E2D2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ENV(S)</w:t>
            </w:r>
          </w:p>
        </w:tc>
        <w:tc>
          <w:tcPr>
            <w:tcW w:w="1192" w:type="dxa"/>
          </w:tcPr>
          <w:p w14:paraId="53B26C47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LIB (S)</w:t>
            </w:r>
          </w:p>
        </w:tc>
        <w:tc>
          <w:tcPr>
            <w:tcW w:w="1192" w:type="dxa"/>
          </w:tcPr>
          <w:p w14:paraId="7EF0BF66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SCI (S)</w:t>
            </w:r>
          </w:p>
        </w:tc>
      </w:tr>
      <w:tr w:rsidR="005925AD" w14:paraId="6A1D75ED" w14:textId="77777777" w:rsidTr="00B32BE7">
        <w:tc>
          <w:tcPr>
            <w:tcW w:w="1192" w:type="dxa"/>
          </w:tcPr>
          <w:p w14:paraId="0EEEC0BA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78646B52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F761B21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0FBA206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40837C46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0F4356D5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2566F535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79D9C532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26F124A" w14:textId="77777777" w:rsidR="005925AD" w:rsidRDefault="005925AD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</w:tr>
    </w:tbl>
    <w:p w14:paraId="7471011C" w14:textId="06010421" w:rsidR="005925AD" w:rsidRPr="0070291D" w:rsidRDefault="005925AD" w:rsidP="005925A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D942ED">
        <w:rPr>
          <w:rFonts w:ascii="Arial" w:eastAsiaTheme="minorEastAsia" w:hAnsi="Arial" w:cs="Times"/>
          <w:b/>
          <w:bCs/>
          <w:sz w:val="18"/>
          <w:szCs w:val="18"/>
        </w:rPr>
        <w:t xml:space="preserve">Expanded Course Outline Approval Checklist                     </w:t>
      </w:r>
      <w:r w:rsidRPr="00D942ED">
        <w:rPr>
          <w:rFonts w:ascii="Arial" w:eastAsiaTheme="minorEastAsia" w:hAnsi="Arial" w:cs="Calibri"/>
          <w:sz w:val="18"/>
          <w:szCs w:val="18"/>
        </w:rPr>
        <w:t>S = Subcommittee Committee Member</w:t>
      </w:r>
    </w:p>
    <w:sectPr w:rsidR="005925AD" w:rsidRPr="0070291D" w:rsidSect="003A689E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6776"/>
    <w:multiLevelType w:val="hybridMultilevel"/>
    <w:tmpl w:val="EB4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E8B"/>
    <w:rsid w:val="000366EC"/>
    <w:rsid w:val="00047E8B"/>
    <w:rsid w:val="000726F4"/>
    <w:rsid w:val="00134962"/>
    <w:rsid w:val="00162FBF"/>
    <w:rsid w:val="001C7CE5"/>
    <w:rsid w:val="0028178A"/>
    <w:rsid w:val="002A3FAB"/>
    <w:rsid w:val="002A6FAB"/>
    <w:rsid w:val="00346957"/>
    <w:rsid w:val="00367193"/>
    <w:rsid w:val="00383BA4"/>
    <w:rsid w:val="003A689E"/>
    <w:rsid w:val="003B15FE"/>
    <w:rsid w:val="003D13B7"/>
    <w:rsid w:val="004611BD"/>
    <w:rsid w:val="00464051"/>
    <w:rsid w:val="004A153A"/>
    <w:rsid w:val="004B7C7B"/>
    <w:rsid w:val="004F077F"/>
    <w:rsid w:val="00584355"/>
    <w:rsid w:val="00587A8C"/>
    <w:rsid w:val="0059251C"/>
    <w:rsid w:val="005925AD"/>
    <w:rsid w:val="005B3A68"/>
    <w:rsid w:val="00604B1C"/>
    <w:rsid w:val="00615F79"/>
    <w:rsid w:val="00645378"/>
    <w:rsid w:val="00682726"/>
    <w:rsid w:val="006F5A53"/>
    <w:rsid w:val="0070291D"/>
    <w:rsid w:val="00726916"/>
    <w:rsid w:val="00773EFE"/>
    <w:rsid w:val="007965E8"/>
    <w:rsid w:val="00866B97"/>
    <w:rsid w:val="0087120C"/>
    <w:rsid w:val="00911819"/>
    <w:rsid w:val="009B25BE"/>
    <w:rsid w:val="009C1618"/>
    <w:rsid w:val="009F5479"/>
    <w:rsid w:val="00A01795"/>
    <w:rsid w:val="00A045A4"/>
    <w:rsid w:val="00A0687D"/>
    <w:rsid w:val="00AB46D5"/>
    <w:rsid w:val="00AF108F"/>
    <w:rsid w:val="00B31FC8"/>
    <w:rsid w:val="00B81B07"/>
    <w:rsid w:val="00BB4FFA"/>
    <w:rsid w:val="00C66887"/>
    <w:rsid w:val="00CE5BBF"/>
    <w:rsid w:val="00D0772C"/>
    <w:rsid w:val="00D17B53"/>
    <w:rsid w:val="00D66BF9"/>
    <w:rsid w:val="00DC52B4"/>
    <w:rsid w:val="00E120B8"/>
    <w:rsid w:val="00E773DB"/>
    <w:rsid w:val="00E84B28"/>
    <w:rsid w:val="00EC3A23"/>
    <w:rsid w:val="00F172C0"/>
    <w:rsid w:val="00F208E1"/>
    <w:rsid w:val="00F739BB"/>
    <w:rsid w:val="00F84697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3F37A"/>
  <w15:docId w15:val="{E6C31F7E-9648-4CCB-B076-7B7BA73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E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8B"/>
    <w:pPr>
      <w:ind w:left="720"/>
      <w:contextualSpacing/>
    </w:pPr>
  </w:style>
  <w:style w:type="table" w:styleId="TableGrid">
    <w:name w:val="Table Grid"/>
    <w:basedOn w:val="TableNormal"/>
    <w:uiPriority w:val="59"/>
    <w:rsid w:val="0004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F54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47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F. Hoyt</dc:creator>
  <cp:lastModifiedBy>Mahmood Ibrahim</cp:lastModifiedBy>
  <cp:revision>11</cp:revision>
  <cp:lastPrinted>2016-03-03T21:35:00Z</cp:lastPrinted>
  <dcterms:created xsi:type="dcterms:W3CDTF">2016-03-03T21:18:00Z</dcterms:created>
  <dcterms:modified xsi:type="dcterms:W3CDTF">2018-09-29T00:54:00Z</dcterms:modified>
</cp:coreProperties>
</file>